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520" w:lineRule="exact"/>
        <w:jc w:val="center"/>
        <w:rPr>
          <w:rFonts w:ascii="黑体" w:eastAsia="黑体"/>
          <w:b/>
          <w:sz w:val="32"/>
        </w:rPr>
      </w:pPr>
    </w:p>
    <w:p>
      <w:pPr>
        <w:snapToGrid w:val="0"/>
        <w:spacing w:line="240" w:lineRule="exact"/>
        <w:jc w:val="center"/>
        <w:rPr>
          <w:rFonts w:ascii="黑体" w:eastAsia="黑体"/>
          <w:b/>
          <w:sz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pPr>
    </w:p>
    <w:p>
      <w:pPr>
        <w:pStyle w:val="3"/>
        <w:keepNext/>
        <w:keepLines/>
        <w:pageBreakBefore w:val="0"/>
        <w:widowControl w:val="0"/>
        <w:kinsoku/>
        <w:wordWrap/>
        <w:overflowPunct/>
        <w:topLinePunct w:val="0"/>
        <w:autoSpaceDE/>
        <w:autoSpaceDN/>
        <w:bidi w:val="0"/>
        <w:adjustRightInd/>
        <w:snapToGrid/>
        <w:spacing w:line="460" w:lineRule="exact"/>
        <w:textAlignment w:val="auto"/>
      </w:pPr>
    </w:p>
    <w:p>
      <w:pPr>
        <w:adjustRightInd w:val="0"/>
        <w:snapToGrid w:val="0"/>
        <w:spacing w:line="560" w:lineRule="exact"/>
        <w:ind w:firstLine="320" w:firstLineChars="100"/>
        <w:jc w:val="center"/>
        <w:rPr>
          <w:rFonts w:hint="eastAsia" w:ascii="楷体" w:hAnsi="楷体" w:eastAsia="楷体" w:cs="楷体"/>
          <w:bCs/>
          <w:sz w:val="32"/>
          <w:lang w:val="en-US" w:eastAsia="zh-CN"/>
        </w:rPr>
      </w:pPr>
      <w:r>
        <w:rPr>
          <w:rFonts w:hint="eastAsia" w:ascii="仿宋" w:hAnsi="仿宋" w:eastAsia="仿宋" w:cs="仿宋"/>
          <w:bCs/>
          <w:sz w:val="32"/>
        </w:rPr>
        <w:t>宁警院</w:t>
      </w:r>
      <w:r>
        <w:rPr>
          <w:rFonts w:hint="eastAsia" w:ascii="仿宋" w:hAnsi="仿宋" w:eastAsia="仿宋" w:cs="仿宋"/>
          <w:bCs/>
          <w:sz w:val="32"/>
          <w:lang w:eastAsia="zh-CN"/>
        </w:rPr>
        <w:t>发</w:t>
      </w:r>
      <w:r>
        <w:rPr>
          <w:rFonts w:hint="eastAsia" w:ascii="仿宋" w:hAnsi="仿宋" w:eastAsia="仿宋" w:cs="仿宋"/>
          <w:bCs/>
          <w:sz w:val="32"/>
        </w:rPr>
        <w:t>〔202</w:t>
      </w:r>
      <w:r>
        <w:rPr>
          <w:rFonts w:hint="eastAsia" w:ascii="仿宋" w:hAnsi="仿宋" w:eastAsia="仿宋" w:cs="仿宋"/>
          <w:bCs/>
          <w:sz w:val="32"/>
          <w:lang w:val="en-US" w:eastAsia="zh-CN"/>
        </w:rPr>
        <w:t>3</w:t>
      </w:r>
      <w:r>
        <w:rPr>
          <w:rFonts w:hint="eastAsia" w:ascii="仿宋" w:hAnsi="仿宋" w:eastAsia="仿宋" w:cs="仿宋"/>
          <w:bCs/>
          <w:sz w:val="32"/>
        </w:rPr>
        <w:t>〕</w:t>
      </w:r>
      <w:r>
        <w:rPr>
          <w:rFonts w:hint="eastAsia" w:ascii="仿宋" w:hAnsi="仿宋" w:eastAsia="仿宋" w:cs="仿宋"/>
          <w:bCs/>
          <w:sz w:val="32"/>
          <w:lang w:val="en-US" w:eastAsia="zh-CN"/>
        </w:rPr>
        <w:t>54</w:t>
      </w:r>
      <w:r>
        <w:rPr>
          <w:rFonts w:hint="eastAsia" w:ascii="仿宋" w:hAnsi="仿宋" w:eastAsia="仿宋" w:cs="仿宋"/>
          <w:bCs/>
          <w:sz w:val="32"/>
        </w:rPr>
        <w:t>号</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 w:hAnsi="仿宋" w:eastAsia="仿宋" w:cs="仿宋"/>
          <w:bCs/>
          <w:sz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关于印发《宁夏警官职业学院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科研经费管理办法（修订）</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各处室、系部：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为贯彻落实中央、自治区关于科研资金管理的相关要求，进一步激发科研人员的创新活力，规范并加强学院科研项目的经费管理，</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了《宁夏警官职业学院</w:t>
      </w:r>
      <w:r>
        <w:rPr>
          <w:rFonts w:hint="eastAsia" w:ascii="仿宋_GB2312" w:hAnsi="仿宋_GB2312" w:eastAsia="仿宋_GB2312" w:cs="仿宋_GB2312"/>
          <w:sz w:val="32"/>
          <w:szCs w:val="32"/>
          <w:lang w:eastAsia="zh-CN"/>
        </w:rPr>
        <w:t>科研经费管理办法（修订）</w:t>
      </w:r>
      <w:r>
        <w:rPr>
          <w:rFonts w:hint="eastAsia" w:ascii="仿宋_GB2312" w:hAnsi="仿宋_GB2312" w:eastAsia="仿宋_GB2312" w:cs="仿宋_GB2312"/>
          <w:sz w:val="32"/>
          <w:szCs w:val="32"/>
        </w:rPr>
        <w:t>》，经学院2023年第5次院长办公会议审定通过，现印发给你们，请认真贯彻执行。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宁夏警官职业学院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2023年7月2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仿宋" w:eastAsia="方正小标宋简体" w:cs="仿宋"/>
          <w:b w:val="0"/>
          <w:bCs/>
          <w:color w:val="000000"/>
          <w:kern w:val="0"/>
          <w:sz w:val="44"/>
          <w:szCs w:val="44"/>
        </w:rPr>
      </w:pPr>
      <w:r>
        <w:rPr>
          <w:rFonts w:hint="eastAsia" w:ascii="方正小标宋简体" w:hAnsi="仿宋" w:eastAsia="方正小标宋简体" w:cs="仿宋"/>
          <w:b w:val="0"/>
          <w:bCs/>
          <w:color w:val="000000"/>
          <w:kern w:val="0"/>
          <w:sz w:val="44"/>
          <w:szCs w:val="44"/>
        </w:rPr>
        <w:t>宁夏警官职业学院</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公文小标宋" w:hAnsi="方正公文小标宋" w:eastAsia="方正公文小标宋" w:cs="方正公文小标宋"/>
          <w:b w:val="0"/>
          <w:bCs/>
          <w:sz w:val="44"/>
          <w:szCs w:val="44"/>
          <w:lang w:eastAsia="zh-CN"/>
        </w:rPr>
      </w:pPr>
      <w:r>
        <w:rPr>
          <w:rFonts w:hint="eastAsia" w:ascii="方正小标宋简体" w:hAnsi="仿宋" w:eastAsia="方正小标宋简体" w:cs="仿宋"/>
          <w:b w:val="0"/>
          <w:bCs/>
          <w:color w:val="000000"/>
          <w:kern w:val="0"/>
          <w:sz w:val="44"/>
          <w:szCs w:val="44"/>
        </w:rPr>
        <w:t>科研项目经费管理办法</w:t>
      </w:r>
      <w:r>
        <w:rPr>
          <w:rFonts w:hint="eastAsia" w:ascii="方正公文小标宋" w:hAnsi="方正公文小标宋" w:eastAsia="方正公文小标宋" w:cs="方正公文小标宋"/>
          <w:b w:val="0"/>
          <w:bCs/>
          <w:sz w:val="44"/>
          <w:szCs w:val="44"/>
          <w:lang w:eastAsia="zh-CN"/>
        </w:rPr>
        <w:t>（修订）</w:t>
      </w:r>
    </w:p>
    <w:p>
      <w:pPr>
        <w:spacing w:line="240" w:lineRule="exact"/>
        <w:jc w:val="center"/>
        <w:rPr>
          <w:rFonts w:ascii="仿宋" w:hAnsi="仿宋" w:eastAsia="仿宋" w:cs="仿宋"/>
          <w:b/>
          <w:color w:val="000000"/>
          <w:kern w:val="0"/>
          <w:sz w:val="28"/>
          <w:szCs w:val="28"/>
        </w:rPr>
      </w:pPr>
    </w:p>
    <w:p>
      <w:pPr>
        <w:pStyle w:val="2"/>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第一章  总则</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第一条</w:t>
      </w:r>
      <w:r>
        <w:rPr>
          <w:rFonts w:hint="eastAsia" w:ascii="仿宋" w:hAnsi="仿宋" w:eastAsia="仿宋" w:cs="仿宋"/>
          <w:color w:val="000000"/>
          <w:kern w:val="0"/>
          <w:sz w:val="32"/>
          <w:szCs w:val="32"/>
        </w:rPr>
        <w:t xml:space="preserve"> </w:t>
      </w:r>
      <w:r>
        <w:rPr>
          <w:rFonts w:hint="eastAsia" w:ascii="仿宋" w:hAnsi="仿宋" w:eastAsia="仿宋"/>
          <w:color w:val="000000"/>
          <w:spacing w:val="8"/>
          <w:sz w:val="32"/>
          <w:szCs w:val="32"/>
        </w:rPr>
        <w:t>为贯彻</w:t>
      </w:r>
      <w:r>
        <w:rPr>
          <w:rFonts w:ascii="仿宋" w:hAnsi="仿宋" w:eastAsia="仿宋"/>
          <w:color w:val="000000"/>
          <w:sz w:val="32"/>
          <w:szCs w:val="32"/>
        </w:rPr>
        <w:t>落实中</w:t>
      </w:r>
      <w:r>
        <w:rPr>
          <w:rFonts w:hint="eastAsia" w:ascii="仿宋" w:hAnsi="仿宋" w:eastAsia="仿宋"/>
          <w:color w:val="000000"/>
          <w:sz w:val="32"/>
          <w:szCs w:val="32"/>
        </w:rPr>
        <w:t>央、自治区</w:t>
      </w:r>
      <w:r>
        <w:rPr>
          <w:rFonts w:ascii="仿宋" w:hAnsi="仿宋" w:eastAsia="仿宋"/>
          <w:color w:val="000000"/>
          <w:sz w:val="32"/>
          <w:szCs w:val="32"/>
        </w:rPr>
        <w:t>关于科研</w:t>
      </w:r>
      <w:r>
        <w:rPr>
          <w:rFonts w:hint="eastAsia" w:ascii="仿宋" w:hAnsi="仿宋" w:eastAsia="仿宋"/>
          <w:color w:val="000000"/>
          <w:sz w:val="32"/>
          <w:szCs w:val="32"/>
        </w:rPr>
        <w:t>资金</w:t>
      </w:r>
      <w:r>
        <w:rPr>
          <w:rFonts w:ascii="仿宋" w:hAnsi="仿宋" w:eastAsia="仿宋"/>
          <w:color w:val="000000"/>
          <w:sz w:val="32"/>
          <w:szCs w:val="32"/>
        </w:rPr>
        <w:t>管理的</w:t>
      </w:r>
      <w:r>
        <w:rPr>
          <w:rFonts w:hint="eastAsia" w:ascii="仿宋" w:hAnsi="仿宋" w:eastAsia="仿宋"/>
          <w:color w:val="000000"/>
          <w:sz w:val="32"/>
          <w:szCs w:val="32"/>
        </w:rPr>
        <w:t>相关</w:t>
      </w:r>
      <w:r>
        <w:rPr>
          <w:rFonts w:ascii="仿宋" w:hAnsi="仿宋" w:eastAsia="仿宋"/>
          <w:color w:val="000000"/>
          <w:sz w:val="32"/>
          <w:szCs w:val="32"/>
        </w:rPr>
        <w:t>要求，</w:t>
      </w:r>
      <w:r>
        <w:rPr>
          <w:rFonts w:hint="eastAsia" w:ascii="仿宋" w:hAnsi="仿宋" w:eastAsia="仿宋"/>
          <w:color w:val="000000"/>
          <w:spacing w:val="8"/>
          <w:sz w:val="32"/>
          <w:szCs w:val="32"/>
        </w:rPr>
        <w:t>进一步激发科研人员的创新活力，规范并加强宁夏</w:t>
      </w:r>
      <w:r>
        <w:rPr>
          <w:rFonts w:hint="eastAsia" w:ascii="仿宋" w:hAnsi="仿宋" w:eastAsia="仿宋"/>
          <w:color w:val="000000"/>
          <w:spacing w:val="8"/>
          <w:sz w:val="32"/>
          <w:szCs w:val="32"/>
          <w:lang w:eastAsia="zh-CN"/>
        </w:rPr>
        <w:t>警官</w:t>
      </w:r>
      <w:r>
        <w:rPr>
          <w:rFonts w:hint="eastAsia" w:ascii="仿宋" w:hAnsi="仿宋" w:eastAsia="仿宋"/>
          <w:color w:val="000000"/>
          <w:spacing w:val="8"/>
          <w:sz w:val="32"/>
          <w:szCs w:val="32"/>
        </w:rPr>
        <w:t>职业学院（以下</w:t>
      </w:r>
      <w:r>
        <w:rPr>
          <w:rFonts w:ascii="仿宋" w:hAnsi="仿宋" w:eastAsia="仿宋"/>
          <w:color w:val="000000"/>
          <w:spacing w:val="8"/>
          <w:sz w:val="32"/>
          <w:szCs w:val="32"/>
        </w:rPr>
        <w:t>简称“</w:t>
      </w:r>
      <w:r>
        <w:rPr>
          <w:rFonts w:hint="eastAsia" w:ascii="仿宋" w:hAnsi="仿宋" w:eastAsia="仿宋"/>
          <w:color w:val="000000"/>
          <w:spacing w:val="8"/>
          <w:sz w:val="32"/>
          <w:szCs w:val="32"/>
        </w:rPr>
        <w:t>学</w:t>
      </w:r>
      <w:r>
        <w:rPr>
          <w:rFonts w:hint="eastAsia" w:ascii="仿宋" w:hAnsi="仿宋" w:eastAsia="仿宋"/>
          <w:color w:val="000000"/>
          <w:spacing w:val="8"/>
          <w:sz w:val="32"/>
          <w:szCs w:val="32"/>
          <w:lang w:eastAsia="zh-CN"/>
        </w:rPr>
        <w:t>院</w:t>
      </w:r>
      <w:r>
        <w:rPr>
          <w:rFonts w:ascii="仿宋" w:hAnsi="仿宋" w:eastAsia="仿宋"/>
          <w:color w:val="000000"/>
          <w:spacing w:val="8"/>
          <w:sz w:val="32"/>
          <w:szCs w:val="32"/>
        </w:rPr>
        <w:t>”</w:t>
      </w:r>
      <w:r>
        <w:rPr>
          <w:rFonts w:hint="eastAsia" w:ascii="仿宋" w:hAnsi="仿宋" w:eastAsia="仿宋"/>
          <w:color w:val="000000"/>
          <w:spacing w:val="8"/>
          <w:sz w:val="32"/>
          <w:szCs w:val="32"/>
        </w:rPr>
        <w:t>）科研项目的</w:t>
      </w:r>
      <w:r>
        <w:rPr>
          <w:rFonts w:hint="eastAsia" w:ascii="仿宋" w:hAnsi="仿宋" w:eastAsia="仿宋"/>
          <w:color w:val="000000"/>
          <w:spacing w:val="8"/>
          <w:sz w:val="32"/>
          <w:szCs w:val="32"/>
          <w:lang w:eastAsia="zh-CN"/>
        </w:rPr>
        <w:t>经费</w:t>
      </w:r>
      <w:r>
        <w:rPr>
          <w:rFonts w:hint="eastAsia" w:ascii="仿宋" w:hAnsi="仿宋" w:eastAsia="仿宋"/>
          <w:color w:val="000000"/>
          <w:spacing w:val="8"/>
          <w:sz w:val="32"/>
          <w:szCs w:val="32"/>
        </w:rPr>
        <w:t>管理，根据</w:t>
      </w:r>
      <w:r>
        <w:rPr>
          <w:rFonts w:ascii="仿宋" w:hAnsi="仿宋" w:eastAsia="仿宋" w:cs="仿宋"/>
          <w:spacing w:val="6"/>
          <w:sz w:val="31"/>
          <w:szCs w:val="31"/>
        </w:rPr>
        <w:t>《中</w:t>
      </w:r>
      <w:r>
        <w:rPr>
          <w:rFonts w:ascii="仿宋" w:hAnsi="仿宋" w:eastAsia="仿宋" w:cs="仿宋"/>
          <w:spacing w:val="23"/>
          <w:sz w:val="31"/>
          <w:szCs w:val="31"/>
        </w:rPr>
        <w:t>共中央办公厅国务院办公厅印发的&lt;关于进一步完善中央</w:t>
      </w:r>
      <w:r>
        <w:rPr>
          <w:rFonts w:ascii="仿宋" w:hAnsi="仿宋" w:eastAsia="仿宋" w:cs="仿宋"/>
          <w:spacing w:val="6"/>
          <w:sz w:val="31"/>
          <w:szCs w:val="31"/>
        </w:rPr>
        <w:t>财政科研项目资金管理等政策的若干意见&gt;的</w:t>
      </w:r>
      <w:r>
        <w:rPr>
          <w:rFonts w:ascii="仿宋" w:hAnsi="仿宋" w:eastAsia="仿宋" w:cs="仿宋"/>
          <w:spacing w:val="5"/>
          <w:sz w:val="31"/>
          <w:szCs w:val="31"/>
        </w:rPr>
        <w:t>通知》(中办</w:t>
      </w:r>
      <w:r>
        <w:rPr>
          <w:rFonts w:ascii="仿宋" w:hAnsi="仿宋" w:eastAsia="仿宋" w:cs="仿宋"/>
          <w:spacing w:val="7"/>
          <w:sz w:val="31"/>
          <w:szCs w:val="31"/>
        </w:rPr>
        <w:t>[2016]50号)</w:t>
      </w:r>
      <w:r>
        <w:rPr>
          <w:rFonts w:hint="eastAsia" w:ascii="仿宋" w:hAnsi="仿宋" w:eastAsia="仿宋" w:cs="仿宋"/>
          <w:spacing w:val="7"/>
          <w:sz w:val="31"/>
          <w:szCs w:val="31"/>
          <w:lang w:eastAsia="zh-CN"/>
        </w:rPr>
        <w:t>、</w:t>
      </w:r>
      <w:r>
        <w:rPr>
          <w:rFonts w:ascii="仿宋" w:hAnsi="仿宋" w:eastAsia="仿宋" w:cs="仿宋"/>
          <w:spacing w:val="7"/>
          <w:sz w:val="31"/>
          <w:szCs w:val="31"/>
        </w:rPr>
        <w:t>《国务院关于优化科研管理提</w:t>
      </w:r>
      <w:r>
        <w:rPr>
          <w:rFonts w:ascii="仿宋" w:hAnsi="仿宋" w:eastAsia="仿宋" w:cs="仿宋"/>
          <w:spacing w:val="6"/>
          <w:sz w:val="31"/>
          <w:szCs w:val="31"/>
        </w:rPr>
        <w:t>升科研绩效</w:t>
      </w:r>
      <w:r>
        <w:rPr>
          <w:rFonts w:ascii="仿宋" w:hAnsi="仿宋" w:eastAsia="仿宋" w:cs="仿宋"/>
          <w:spacing w:val="9"/>
          <w:sz w:val="31"/>
          <w:szCs w:val="31"/>
        </w:rPr>
        <w:t>若干措施的通知</w:t>
      </w:r>
      <w:r>
        <w:rPr>
          <w:rFonts w:hint="eastAsia" w:ascii="仿宋" w:hAnsi="仿宋" w:eastAsia="仿宋" w:cs="仿宋"/>
          <w:spacing w:val="9"/>
          <w:sz w:val="31"/>
          <w:szCs w:val="31"/>
          <w:lang w:eastAsia="zh-CN"/>
        </w:rPr>
        <w:t>》</w:t>
      </w:r>
      <w:r>
        <w:rPr>
          <w:rFonts w:ascii="仿宋" w:hAnsi="仿宋" w:eastAsia="仿宋" w:cs="仿宋"/>
          <w:spacing w:val="9"/>
          <w:sz w:val="31"/>
          <w:szCs w:val="31"/>
        </w:rPr>
        <w:t>(国发[2018]25号)</w:t>
      </w:r>
      <w:r>
        <w:rPr>
          <w:rFonts w:hint="eastAsia" w:ascii="仿宋" w:hAnsi="仿宋" w:eastAsia="仿宋" w:cs="仿宋"/>
          <w:spacing w:val="9"/>
          <w:sz w:val="31"/>
          <w:szCs w:val="31"/>
          <w:lang w:eastAsia="zh-CN"/>
        </w:rPr>
        <w:t>、</w:t>
      </w:r>
      <w:r>
        <w:rPr>
          <w:rFonts w:hint="eastAsia" w:ascii="仿宋" w:hAnsi="仿宋" w:eastAsia="仿宋"/>
          <w:color w:val="000000"/>
          <w:spacing w:val="8"/>
          <w:sz w:val="32"/>
          <w:szCs w:val="32"/>
        </w:rPr>
        <w:t>《国务院办公厅关于改革完善中央财政科研</w:t>
      </w:r>
      <w:r>
        <w:rPr>
          <w:rFonts w:hint="eastAsia" w:ascii="仿宋" w:hAnsi="仿宋" w:eastAsia="仿宋"/>
          <w:color w:val="000000"/>
          <w:spacing w:val="8"/>
          <w:sz w:val="32"/>
          <w:szCs w:val="32"/>
          <w:lang w:eastAsia="zh-CN"/>
        </w:rPr>
        <w:t>经费</w:t>
      </w:r>
      <w:r>
        <w:rPr>
          <w:rFonts w:hint="eastAsia" w:ascii="仿宋" w:hAnsi="仿宋" w:eastAsia="仿宋"/>
          <w:color w:val="000000"/>
          <w:spacing w:val="8"/>
          <w:sz w:val="32"/>
          <w:szCs w:val="32"/>
        </w:rPr>
        <w:t>管理的若干意见</w:t>
      </w:r>
      <w:r>
        <w:rPr>
          <w:rFonts w:hint="eastAsia" w:ascii="仿宋" w:hAnsi="仿宋" w:eastAsia="仿宋"/>
          <w:color w:val="000000"/>
          <w:spacing w:val="8"/>
          <w:sz w:val="32"/>
          <w:szCs w:val="32"/>
          <w:lang w:eastAsia="zh-CN"/>
        </w:rPr>
        <w:t>》</w:t>
      </w:r>
      <w:r>
        <w:rPr>
          <w:rFonts w:hint="eastAsia" w:ascii="仿宋" w:hAnsi="仿宋" w:eastAsia="仿宋"/>
          <w:color w:val="000000"/>
          <w:spacing w:val="8"/>
          <w:sz w:val="32"/>
          <w:szCs w:val="32"/>
        </w:rPr>
        <w:t>（国办发〔2021〕32号）</w:t>
      </w:r>
      <w:r>
        <w:rPr>
          <w:rFonts w:hint="eastAsia" w:ascii="仿宋" w:hAnsi="仿宋" w:eastAsia="仿宋"/>
          <w:color w:val="000000"/>
          <w:spacing w:val="8"/>
          <w:sz w:val="32"/>
          <w:szCs w:val="32"/>
          <w:lang w:eastAsia="zh-CN"/>
        </w:rPr>
        <w:t>以及《</w:t>
      </w:r>
      <w:r>
        <w:rPr>
          <w:rFonts w:hint="eastAsia" w:ascii="仿宋" w:hAnsi="仿宋" w:eastAsia="仿宋"/>
          <w:spacing w:val="8"/>
          <w:sz w:val="32"/>
          <w:szCs w:val="32"/>
          <w:lang w:eastAsia="zh-CN"/>
        </w:rPr>
        <w:t>自治区人民政府办公厅关于改革完善自治区财政科研经费管理的实施意见</w:t>
      </w:r>
      <w:r>
        <w:rPr>
          <w:rFonts w:hint="eastAsia" w:ascii="仿宋" w:hAnsi="仿宋" w:eastAsia="仿宋"/>
          <w:color w:val="000000"/>
          <w:spacing w:val="8"/>
          <w:sz w:val="32"/>
          <w:szCs w:val="32"/>
          <w:lang w:eastAsia="zh-CN"/>
        </w:rPr>
        <w:t>》（</w:t>
      </w:r>
      <w:r>
        <w:rPr>
          <w:rFonts w:hint="eastAsia" w:ascii="仿宋" w:hAnsi="仿宋" w:eastAsia="仿宋"/>
          <w:spacing w:val="8"/>
          <w:sz w:val="32"/>
          <w:szCs w:val="32"/>
          <w:lang w:eastAsia="zh-CN"/>
        </w:rPr>
        <w:t>宁政办发〔2022〕53号</w:t>
      </w:r>
      <w:r>
        <w:rPr>
          <w:rFonts w:hint="eastAsia" w:ascii="仿宋" w:hAnsi="仿宋" w:eastAsia="仿宋"/>
          <w:color w:val="000000"/>
          <w:spacing w:val="8"/>
          <w:sz w:val="32"/>
          <w:szCs w:val="32"/>
          <w:lang w:eastAsia="zh-CN"/>
        </w:rPr>
        <w:t>）</w:t>
      </w:r>
      <w:r>
        <w:rPr>
          <w:rFonts w:hint="eastAsia" w:ascii="仿宋" w:hAnsi="仿宋" w:eastAsia="仿宋"/>
          <w:color w:val="000000"/>
          <w:spacing w:val="8"/>
          <w:sz w:val="32"/>
          <w:szCs w:val="32"/>
        </w:rPr>
        <w:t>等文件精神，依据自治区本级支出预算要求及有关财务管理制度，结合学校科研资金管理的实际情况，制定本办法。</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Times New Roman"/>
          <w:color w:val="000000"/>
          <w:spacing w:val="8"/>
          <w:sz w:val="32"/>
          <w:szCs w:val="32"/>
        </w:rPr>
      </w:pPr>
      <w:r>
        <w:rPr>
          <w:rFonts w:hint="eastAsia" w:ascii="仿宋" w:hAnsi="仿宋" w:eastAsia="仿宋" w:cs="仿宋"/>
          <w:b/>
          <w:color w:val="000000"/>
          <w:kern w:val="0"/>
          <w:sz w:val="32"/>
          <w:szCs w:val="32"/>
        </w:rPr>
        <w:t>第二条</w:t>
      </w:r>
      <w:r>
        <w:rPr>
          <w:rFonts w:hint="eastAsia" w:ascii="仿宋" w:hAnsi="仿宋" w:eastAsia="仿宋" w:cs="仿宋"/>
          <w:color w:val="000000"/>
          <w:kern w:val="0"/>
          <w:sz w:val="32"/>
          <w:szCs w:val="32"/>
        </w:rPr>
        <w:t xml:space="preserve"> 本</w:t>
      </w:r>
      <w:r>
        <w:rPr>
          <w:rFonts w:hint="eastAsia" w:ascii="仿宋" w:hAnsi="仿宋" w:eastAsia="仿宋" w:cs="Times New Roman"/>
          <w:color w:val="000000"/>
          <w:spacing w:val="8"/>
          <w:kern w:val="2"/>
          <w:sz w:val="32"/>
          <w:szCs w:val="32"/>
        </w:rPr>
        <w:t>办法所称“科研项目”是指以宁夏警官职业学院为项目主持单位（第一承担单位）、项目负责人为本院教职工，并以有效文件或合同为依据获得立项的各级各类科学研究项目。</w:t>
      </w:r>
      <w:r>
        <w:rPr>
          <w:rFonts w:hint="eastAsia" w:ascii="仿宋" w:hAnsi="仿宋" w:eastAsia="仿宋" w:cs="Times New Roman"/>
          <w:color w:val="000000"/>
          <w:spacing w:val="8"/>
          <w:sz w:val="32"/>
          <w:szCs w:val="32"/>
        </w:rPr>
        <w:t>科研项目分为纵向科研项目、横向科研项目和学院项目三类。</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第三条 </w:t>
      </w:r>
      <w:r>
        <w:rPr>
          <w:rFonts w:hint="eastAsia" w:ascii="仿宋" w:hAnsi="仿宋" w:eastAsia="仿宋" w:cs="仿宋"/>
          <w:color w:val="000000"/>
          <w:kern w:val="0"/>
          <w:sz w:val="32"/>
          <w:szCs w:val="32"/>
        </w:rPr>
        <w:t>学院科研经费根据其来源，分为纵向科研经费、横向科研经费和学院科研经费三类。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“纵向科研经费”是指各级政府部门分年度或定期批准立项并纳入中央和地方财政拨款支持的科研资助经费。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“横向科研经费”是指学院开展科研活动从政府部门之外的渠道取得的各种经费，包括通过联合研究、委托研究、科技攻关、智库与科技咨询、技术服务、科技开发与成果转让等方式取得的经费。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“学院科研经费”是指纵横向科研项目的学院配套经费、纵向自筹经费项目的学院拨付经费</w:t>
      </w:r>
      <w:r>
        <w:rPr>
          <w:rFonts w:hint="eastAsia" w:ascii="仿宋" w:hAnsi="仿宋" w:eastAsia="仿宋" w:cs="仿宋"/>
          <w:color w:val="000000"/>
          <w:kern w:val="0"/>
          <w:sz w:val="32"/>
          <w:szCs w:val="32"/>
          <w:lang w:eastAsia="zh-CN"/>
        </w:rPr>
        <w:t>以及</w:t>
      </w:r>
      <w:r>
        <w:rPr>
          <w:rFonts w:hint="eastAsia" w:ascii="仿宋" w:hAnsi="仿宋" w:eastAsia="仿宋" w:cs="仿宋"/>
          <w:color w:val="000000"/>
          <w:kern w:val="0"/>
          <w:sz w:val="32"/>
          <w:szCs w:val="32"/>
        </w:rPr>
        <w:t>院级项目经费。</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rPr>
        <w:t xml:space="preserve">第四条 </w:t>
      </w:r>
      <w:r>
        <w:rPr>
          <w:rFonts w:hint="eastAsia" w:ascii="仿宋" w:hAnsi="仿宋" w:eastAsia="仿宋" w:cs="仿宋"/>
          <w:color w:val="000000"/>
          <w:kern w:val="0"/>
          <w:sz w:val="32"/>
          <w:szCs w:val="32"/>
        </w:rPr>
        <w:t>科研经费的管理应严格按国家有关法律法规、制度和相关规定执行，必须全部纳入学院财务统一管理，按照相关科研管理办法、科研合同、委托协议的要求合理使用。</w:t>
      </w:r>
      <w:r>
        <w:rPr>
          <w:rFonts w:hint="eastAsia" w:ascii="仿宋" w:hAnsi="仿宋" w:eastAsia="仿宋" w:cs="仿宋"/>
          <w:color w:val="000000"/>
          <w:kern w:val="0"/>
          <w:sz w:val="32"/>
          <w:szCs w:val="32"/>
          <w:lang w:eastAsia="zh-CN"/>
        </w:rPr>
        <w:t>立项单位对项目经费管理另有规定的，学院遵照执行。</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仿宋"/>
          <w:color w:val="000000"/>
          <w:kern w:val="0"/>
          <w:sz w:val="32"/>
          <w:szCs w:val="32"/>
        </w:rPr>
      </w:pPr>
      <w:r>
        <w:rPr>
          <w:rFonts w:hint="eastAsia" w:ascii="黑体" w:hAnsi="黑体" w:eastAsia="黑体" w:cs="仿宋"/>
          <w:bCs/>
          <w:color w:val="000000"/>
          <w:kern w:val="0"/>
          <w:sz w:val="32"/>
          <w:szCs w:val="32"/>
        </w:rPr>
        <w:t>第二章  管理职责</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第五条</w:t>
      </w:r>
      <w:r>
        <w:rPr>
          <w:rFonts w:hint="eastAsia" w:ascii="仿宋" w:hAnsi="仿宋" w:eastAsia="仿宋" w:cs="仿宋"/>
          <w:color w:val="000000"/>
          <w:kern w:val="0"/>
          <w:sz w:val="32"/>
          <w:szCs w:val="32"/>
        </w:rPr>
        <w:t xml:space="preserve"> 科研经费管理实行责任制，学院是科研经费管理的责任主体，建立健全“统一领导、分级管理、责任到人”的项目资金管理制度，完善内部控制和监督约束机制，加强对项目资金的管理和监督。</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 xml:space="preserve">第六条 </w:t>
      </w:r>
      <w:r>
        <w:rPr>
          <w:rFonts w:hint="eastAsia" w:ascii="仿宋" w:hAnsi="仿宋" w:eastAsia="仿宋" w:cs="仿宋"/>
          <w:color w:val="000000"/>
          <w:kern w:val="0"/>
          <w:sz w:val="32"/>
          <w:szCs w:val="32"/>
        </w:rPr>
        <w:t>有关科研经费管理的重大问题</w:t>
      </w:r>
      <w:r>
        <w:rPr>
          <w:rFonts w:hint="eastAsia" w:ascii="仿宋" w:hAnsi="仿宋" w:eastAsia="仿宋" w:cs="仿宋"/>
          <w:color w:val="000000"/>
          <w:spacing w:val="0"/>
          <w:kern w:val="0"/>
          <w:position w:val="0"/>
          <w:sz w:val="32"/>
          <w:szCs w:val="32"/>
          <w:lang w:eastAsia="zh-CN"/>
        </w:rPr>
        <w:t>或年度科研计划外的特殊科研项目经费支出，</w:t>
      </w:r>
      <w:r>
        <w:rPr>
          <w:rFonts w:hint="eastAsia" w:ascii="仿宋" w:hAnsi="仿宋" w:eastAsia="仿宋" w:cs="仿宋"/>
          <w:color w:val="000000"/>
          <w:kern w:val="0"/>
          <w:sz w:val="32"/>
          <w:szCs w:val="32"/>
        </w:rPr>
        <w:t>应按照学院有关规定由院长办公会、党委会集体研究决定。</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 xml:space="preserve">第七条 </w:t>
      </w:r>
      <w:r>
        <w:rPr>
          <w:rFonts w:hint="eastAsia" w:ascii="仿宋" w:hAnsi="仿宋" w:eastAsia="仿宋" w:cs="仿宋"/>
          <w:bCs/>
          <w:color w:val="000000"/>
          <w:kern w:val="0"/>
          <w:sz w:val="32"/>
          <w:szCs w:val="32"/>
        </w:rPr>
        <w:t>科研项目负责人是科研经费使用的直接责任人，对经费使用的合规性、合理性、真实性和相关性承担法律责任。项目负责人要依法、据实编制科研项目预算和决算，按照项目批复预算和合同使用经费，接受上级和学院相关部门的监督检查。</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bCs/>
          <w:color w:val="000000"/>
          <w:kern w:val="0"/>
          <w:sz w:val="32"/>
          <w:szCs w:val="32"/>
        </w:rPr>
      </w:pPr>
      <w:r>
        <w:rPr>
          <w:rFonts w:hint="eastAsia" w:ascii="仿宋" w:hAnsi="仿宋" w:eastAsia="仿宋" w:cs="仿宋"/>
          <w:b/>
          <w:color w:val="000000"/>
          <w:kern w:val="0"/>
          <w:sz w:val="32"/>
          <w:szCs w:val="32"/>
        </w:rPr>
        <w:t>第八条</w:t>
      </w:r>
      <w:r>
        <w:rPr>
          <w:rFonts w:hint="eastAsia" w:ascii="仿宋" w:hAnsi="仿宋" w:eastAsia="仿宋" w:cs="仿宋"/>
          <w:b/>
          <w:color w:val="000000"/>
          <w:kern w:val="0"/>
          <w:sz w:val="32"/>
          <w:szCs w:val="32"/>
          <w:lang w:val="en-US" w:eastAsia="zh-CN"/>
        </w:rPr>
        <w:t xml:space="preserve"> </w:t>
      </w:r>
      <w:r>
        <w:rPr>
          <w:rFonts w:hint="eastAsia" w:ascii="仿宋" w:hAnsi="仿宋" w:eastAsia="仿宋" w:cs="仿宋"/>
          <w:bCs/>
          <w:color w:val="000000"/>
          <w:kern w:val="0"/>
          <w:sz w:val="32"/>
          <w:szCs w:val="32"/>
        </w:rPr>
        <w:t>教学系（部）是科研活动的基层管理部门，对本部门科研经费使用的合规性、合理性、真实性承担监管责任。教学系（部）要根据专业特点和科研的实际需要，合理配置资源，为科研项目执行提供条件保障；要配合学院相关职能部门加强预算执行，督促项目进度。学院将科研经费管理纳入教学系（部）的目标考核范围。</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bCs/>
          <w:color w:val="000000"/>
          <w:kern w:val="0"/>
          <w:sz w:val="32"/>
          <w:szCs w:val="32"/>
        </w:rPr>
      </w:pPr>
      <w:r>
        <w:rPr>
          <w:rFonts w:hint="eastAsia" w:ascii="仿宋" w:hAnsi="仿宋" w:eastAsia="仿宋" w:cs="仿宋"/>
          <w:b/>
          <w:color w:val="000000"/>
          <w:kern w:val="0"/>
          <w:sz w:val="32"/>
          <w:szCs w:val="32"/>
        </w:rPr>
        <w:t>第九条</w:t>
      </w:r>
      <w:r>
        <w:rPr>
          <w:rFonts w:hint="eastAsia" w:ascii="仿宋" w:hAnsi="仿宋" w:eastAsia="仿宋" w:cs="仿宋"/>
          <w:b/>
          <w:color w:val="000000"/>
          <w:kern w:val="0"/>
          <w:sz w:val="32"/>
          <w:szCs w:val="32"/>
          <w:lang w:val="en-US" w:eastAsia="zh-CN"/>
        </w:rPr>
        <w:t xml:space="preserve"> </w:t>
      </w:r>
      <w:r>
        <w:rPr>
          <w:rFonts w:hint="eastAsia" w:ascii="仿宋" w:hAnsi="仿宋" w:eastAsia="仿宋" w:cs="仿宋"/>
          <w:bCs/>
          <w:color w:val="000000"/>
          <w:kern w:val="0"/>
          <w:sz w:val="32"/>
          <w:szCs w:val="32"/>
        </w:rPr>
        <w:t>科研处负责科研项目的管理</w:t>
      </w:r>
      <w:r>
        <w:rPr>
          <w:rFonts w:hint="eastAsia" w:ascii="仿宋" w:hAnsi="仿宋" w:eastAsia="仿宋" w:cs="仿宋"/>
          <w:bCs/>
          <w:color w:val="000000"/>
          <w:kern w:val="0"/>
          <w:sz w:val="32"/>
          <w:szCs w:val="32"/>
          <w:lang w:eastAsia="zh-CN"/>
        </w:rPr>
        <w:t>；会同计划财务处</w:t>
      </w:r>
      <w:r>
        <w:rPr>
          <w:rFonts w:hint="eastAsia" w:ascii="仿宋" w:hAnsi="仿宋" w:eastAsia="仿宋" w:cs="仿宋"/>
          <w:bCs/>
          <w:color w:val="000000"/>
          <w:kern w:val="0"/>
          <w:sz w:val="32"/>
          <w:szCs w:val="32"/>
        </w:rPr>
        <w:t>制订和完善学院科研经费管理制度及运行流程</w:t>
      </w:r>
      <w:r>
        <w:rPr>
          <w:rFonts w:hint="eastAsia" w:ascii="仿宋" w:hAnsi="仿宋" w:eastAsia="仿宋" w:cs="仿宋"/>
          <w:bCs/>
          <w:color w:val="000000"/>
          <w:kern w:val="0"/>
          <w:sz w:val="32"/>
          <w:szCs w:val="32"/>
          <w:lang w:eastAsia="zh-CN"/>
        </w:rPr>
        <w:t>；负责指导项目承担部门和项目组编报资金预算及决算，审核预算方案；监督资金预算执行情况</w:t>
      </w:r>
      <w:r>
        <w:rPr>
          <w:rFonts w:hint="eastAsia" w:ascii="仿宋" w:hAnsi="仿宋" w:eastAsia="仿宋" w:cs="仿宋"/>
          <w:bCs/>
          <w:color w:val="000000"/>
          <w:kern w:val="0"/>
          <w:sz w:val="32"/>
          <w:szCs w:val="32"/>
        </w:rPr>
        <w:t>。</w:t>
      </w:r>
    </w:p>
    <w:p>
      <w:pPr>
        <w:keepNext w:val="0"/>
        <w:keepLines w:val="0"/>
        <w:pageBreakBefore w:val="0"/>
        <w:widowControl/>
        <w:kinsoku/>
        <w:wordWrap/>
        <w:overflowPunct/>
        <w:topLinePunct w:val="0"/>
        <w:autoSpaceDE/>
        <w:autoSpaceDN/>
        <w:bidi w:val="0"/>
        <w:snapToGrid w:val="0"/>
        <w:spacing w:line="560" w:lineRule="exact"/>
        <w:ind w:firstLine="803" w:firstLineChars="250"/>
        <w:textAlignment w:val="auto"/>
        <w:rPr>
          <w:rFonts w:hint="eastAsia" w:ascii="仿宋" w:hAnsi="仿宋" w:eastAsia="仿宋" w:cs="仿宋"/>
          <w:bCs/>
          <w:color w:val="000000"/>
          <w:kern w:val="0"/>
          <w:sz w:val="32"/>
          <w:szCs w:val="32"/>
          <w:lang w:eastAsia="zh-CN"/>
        </w:rPr>
      </w:pPr>
      <w:r>
        <w:rPr>
          <w:rFonts w:hint="eastAsia" w:ascii="仿宋" w:hAnsi="仿宋" w:eastAsia="仿宋" w:cs="仿宋"/>
          <w:b/>
          <w:color w:val="000000"/>
          <w:kern w:val="0"/>
          <w:sz w:val="32"/>
          <w:szCs w:val="32"/>
        </w:rPr>
        <w:t>第十条</w:t>
      </w:r>
      <w:r>
        <w:rPr>
          <w:rFonts w:hint="eastAsia" w:ascii="仿宋" w:hAnsi="仿宋" w:eastAsia="仿宋" w:cs="仿宋"/>
          <w:color w:val="000000"/>
          <w:kern w:val="0"/>
          <w:sz w:val="32"/>
          <w:szCs w:val="32"/>
        </w:rPr>
        <w:t xml:space="preserve"> </w:t>
      </w:r>
      <w:r>
        <w:rPr>
          <w:rFonts w:hint="eastAsia" w:ascii="仿宋" w:hAnsi="仿宋" w:eastAsia="仿宋" w:cs="仿宋"/>
          <w:bCs/>
          <w:color w:val="000000"/>
          <w:kern w:val="0"/>
          <w:sz w:val="32"/>
          <w:szCs w:val="32"/>
        </w:rPr>
        <w:t>学院计划财务处负责根据立项单位批复按进度拨付资金</w:t>
      </w:r>
      <w:r>
        <w:rPr>
          <w:rFonts w:hint="eastAsia" w:ascii="仿宋" w:hAnsi="仿宋" w:eastAsia="仿宋" w:cs="仿宋"/>
          <w:bCs/>
          <w:color w:val="000000"/>
          <w:kern w:val="0"/>
          <w:sz w:val="32"/>
          <w:szCs w:val="32"/>
          <w:lang w:eastAsia="zh-CN"/>
        </w:rPr>
        <w:t>；</w:t>
      </w:r>
      <w:r>
        <w:rPr>
          <w:rFonts w:hint="eastAsia" w:ascii="仿宋" w:hAnsi="仿宋" w:eastAsia="仿宋" w:cs="仿宋"/>
          <w:bCs/>
          <w:color w:val="000000"/>
          <w:kern w:val="0"/>
          <w:sz w:val="32"/>
          <w:szCs w:val="32"/>
        </w:rPr>
        <w:t>监督预算执行情况；负责对</w:t>
      </w:r>
      <w:r>
        <w:rPr>
          <w:rFonts w:hint="eastAsia" w:ascii="仿宋" w:hAnsi="仿宋" w:eastAsia="仿宋" w:cs="仿宋"/>
          <w:bCs/>
          <w:color w:val="000000"/>
          <w:kern w:val="0"/>
          <w:sz w:val="32"/>
          <w:szCs w:val="32"/>
          <w:lang w:eastAsia="zh-CN"/>
        </w:rPr>
        <w:t>科研报销</w:t>
      </w:r>
      <w:r>
        <w:rPr>
          <w:rFonts w:hint="eastAsia" w:ascii="仿宋" w:hAnsi="仿宋" w:eastAsia="仿宋" w:cs="仿宋"/>
          <w:bCs/>
          <w:color w:val="000000"/>
          <w:kern w:val="0"/>
          <w:sz w:val="32"/>
          <w:szCs w:val="32"/>
        </w:rPr>
        <w:t>票据的合规、合法</w:t>
      </w:r>
      <w:r>
        <w:rPr>
          <w:rFonts w:hint="eastAsia" w:ascii="仿宋" w:hAnsi="仿宋" w:eastAsia="仿宋" w:cs="仿宋"/>
          <w:bCs/>
          <w:color w:val="000000"/>
          <w:kern w:val="0"/>
          <w:sz w:val="32"/>
          <w:szCs w:val="32"/>
          <w:lang w:eastAsia="zh-CN"/>
        </w:rPr>
        <w:t>、真实</w:t>
      </w:r>
      <w:r>
        <w:rPr>
          <w:rFonts w:hint="eastAsia" w:ascii="仿宋" w:hAnsi="仿宋" w:eastAsia="仿宋" w:cs="仿宋"/>
          <w:bCs/>
          <w:color w:val="000000"/>
          <w:kern w:val="0"/>
          <w:sz w:val="32"/>
          <w:szCs w:val="32"/>
        </w:rPr>
        <w:t>性进行审核</w:t>
      </w:r>
      <w:r>
        <w:rPr>
          <w:rFonts w:hint="eastAsia" w:ascii="仿宋" w:hAnsi="仿宋" w:eastAsia="仿宋" w:cs="仿宋"/>
          <w:bCs/>
          <w:color w:val="000000"/>
          <w:kern w:val="0"/>
          <w:sz w:val="32"/>
          <w:szCs w:val="32"/>
          <w:lang w:eastAsia="zh-CN"/>
        </w:rPr>
        <w:t>，进行科研项目经费会计核算；</w:t>
      </w:r>
      <w:r>
        <w:rPr>
          <w:rFonts w:hint="eastAsia" w:ascii="仿宋" w:hAnsi="仿宋" w:eastAsia="仿宋" w:cs="仿宋"/>
          <w:bCs/>
          <w:color w:val="000000"/>
          <w:kern w:val="0"/>
          <w:sz w:val="32"/>
          <w:szCs w:val="32"/>
        </w:rPr>
        <w:t>审核项目结题经费决算表；依照有关规定办理项目结余经费上缴或结转手续；办理科研项目的发票开具、税费减免报批报备手续等。</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ascii="仿宋" w:hAnsi="仿宋" w:eastAsia="仿宋" w:cs="仿宋"/>
          <w:bCs/>
          <w:color w:val="000000"/>
          <w:kern w:val="0"/>
          <w:sz w:val="32"/>
          <w:szCs w:val="32"/>
        </w:rPr>
      </w:pPr>
      <w:r>
        <w:rPr>
          <w:rFonts w:hint="eastAsia" w:ascii="仿宋" w:hAnsi="仿宋" w:eastAsia="仿宋" w:cs="仿宋"/>
          <w:b/>
          <w:bCs/>
          <w:color w:val="000000"/>
          <w:kern w:val="0"/>
          <w:sz w:val="32"/>
          <w:szCs w:val="32"/>
          <w:lang w:eastAsia="zh-CN"/>
        </w:rPr>
        <w:t>第十一条</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bCs/>
          <w:color w:val="000000"/>
          <w:kern w:val="0"/>
          <w:sz w:val="32"/>
          <w:szCs w:val="32"/>
        </w:rPr>
        <w:t>后勤管理处负责对科研经费购置与形成的固定和无形资产进行管理；按规定组织相关资产的招标、采购；清产核资和资产调配使用；对固定资产验收、登记和报废处理。</w:t>
      </w:r>
    </w:p>
    <w:p>
      <w:pPr>
        <w:keepNext w:val="0"/>
        <w:keepLines w:val="0"/>
        <w:pageBreakBefore w:val="0"/>
        <w:widowControl/>
        <w:kinsoku/>
        <w:wordWrap/>
        <w:overflowPunct/>
        <w:topLinePunct w:val="0"/>
        <w:autoSpaceDE/>
        <w:autoSpaceDN/>
        <w:bidi w:val="0"/>
        <w:adjustRightInd/>
        <w:snapToGrid w:val="0"/>
        <w:spacing w:line="560" w:lineRule="exact"/>
        <w:ind w:firstLine="803" w:firstLineChars="250"/>
        <w:textAlignment w:val="auto"/>
        <w:rPr>
          <w:rFonts w:ascii="仿宋" w:hAnsi="仿宋" w:eastAsia="仿宋" w:cs="仿宋"/>
          <w:bCs/>
          <w:color w:val="000000"/>
          <w:kern w:val="0"/>
          <w:sz w:val="32"/>
          <w:szCs w:val="32"/>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二</w:t>
      </w:r>
      <w:r>
        <w:rPr>
          <w:rFonts w:hint="eastAsia" w:ascii="仿宋" w:hAnsi="仿宋" w:eastAsia="仿宋" w:cs="仿宋"/>
          <w:b/>
          <w:color w:val="000000"/>
          <w:kern w:val="0"/>
          <w:sz w:val="32"/>
          <w:szCs w:val="32"/>
        </w:rPr>
        <w:t>条</w:t>
      </w:r>
      <w:r>
        <w:rPr>
          <w:rFonts w:hint="eastAsia" w:ascii="仿宋" w:hAnsi="仿宋" w:eastAsia="仿宋" w:cs="仿宋"/>
          <w:bCs/>
          <w:color w:val="000000"/>
          <w:kern w:val="0"/>
          <w:sz w:val="32"/>
          <w:szCs w:val="32"/>
        </w:rPr>
        <w:t xml:space="preserve"> </w:t>
      </w:r>
      <w:r>
        <w:rPr>
          <w:rFonts w:hint="eastAsia" w:ascii="仿宋" w:hAnsi="仿宋" w:eastAsia="仿宋" w:cs="仿宋"/>
          <w:color w:val="000000"/>
          <w:kern w:val="0"/>
          <w:sz w:val="32"/>
          <w:szCs w:val="32"/>
          <w:lang w:val="en-US" w:eastAsia="zh-CN"/>
        </w:rPr>
        <w:t>规划审计处负责科研项目经费的审计，按项目管理要求对科研项目经费使用和管理进行定期或不定期审计或专项审计，出具经费审计报告，承担相应审计责任。</w:t>
      </w:r>
    </w:p>
    <w:p>
      <w:pPr>
        <w:keepNext w:val="0"/>
        <w:keepLines w:val="0"/>
        <w:pageBreakBefore w:val="0"/>
        <w:widowControl/>
        <w:kinsoku/>
        <w:wordWrap/>
        <w:overflowPunct/>
        <w:topLinePunct w:val="0"/>
        <w:autoSpaceDE/>
        <w:autoSpaceDN/>
        <w:bidi w:val="0"/>
        <w:adjustRightInd/>
        <w:snapToGrid w:val="0"/>
        <w:spacing w:line="560" w:lineRule="exact"/>
        <w:ind w:firstLine="803" w:firstLineChars="250"/>
        <w:jc w:val="left"/>
        <w:textAlignment w:val="auto"/>
        <w:rPr>
          <w:rFonts w:ascii="黑体" w:hAnsi="黑体" w:eastAsia="黑体" w:cs="仿宋"/>
          <w:bCs/>
          <w:color w:val="000000"/>
          <w:kern w:val="0"/>
          <w:sz w:val="32"/>
          <w:szCs w:val="32"/>
        </w:rPr>
      </w:pPr>
      <w:r>
        <w:rPr>
          <w:rFonts w:hint="eastAsia" w:ascii="仿宋" w:hAnsi="仿宋" w:eastAsia="仿宋" w:cs="仿宋"/>
          <w:b/>
          <w:bCs/>
          <w:color w:val="000000"/>
          <w:kern w:val="0"/>
          <w:sz w:val="32"/>
          <w:szCs w:val="32"/>
          <w:lang w:eastAsia="zh-CN"/>
        </w:rPr>
        <w:t>第十三条</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监察专员办公室负责开展科研经费内部检查或监督，和对重大、重点科研项目开展过程经费跟踪监督。</w:t>
      </w:r>
    </w:p>
    <w:p>
      <w:pPr>
        <w:keepNext w:val="0"/>
        <w:keepLines w:val="0"/>
        <w:pageBreakBefore w:val="0"/>
        <w:kinsoku/>
        <w:wordWrap/>
        <w:overflowPunct/>
        <w:topLinePunct w:val="0"/>
        <w:autoSpaceDE/>
        <w:autoSpaceDN/>
        <w:bidi w:val="0"/>
        <w:adjustRightInd w:val="0"/>
        <w:snapToGrid w:val="0"/>
        <w:spacing w:line="560" w:lineRule="exact"/>
        <w:ind w:firstLine="640"/>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第三章  预算和决算管理</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 w:hAnsi="仿宋" w:eastAsia="仿宋" w:cs="仿宋"/>
          <w:color w:val="000000"/>
          <w:kern w:val="0"/>
          <w:sz w:val="32"/>
          <w:szCs w:val="32"/>
          <w:lang w:eastAsia="zh-CN"/>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四</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科研项目负责人在科研处的协助下，按科研经费管理的相关规定和办法，根据项目研究开发任务的特点和实际需要，</w:t>
      </w:r>
      <w:r>
        <w:rPr>
          <w:rFonts w:hint="eastAsia" w:ascii="仿宋" w:hAnsi="仿宋" w:eastAsia="仿宋" w:cs="仿宋"/>
          <w:color w:val="000000"/>
          <w:kern w:val="0"/>
          <w:sz w:val="32"/>
          <w:szCs w:val="32"/>
          <w:lang w:bidi="ar"/>
        </w:rPr>
        <w:t>科学合理、实事求是地</w:t>
      </w:r>
      <w:r>
        <w:rPr>
          <w:rFonts w:hint="eastAsia" w:ascii="仿宋" w:hAnsi="仿宋" w:eastAsia="仿宋" w:cs="仿宋"/>
          <w:color w:val="000000"/>
          <w:kern w:val="0"/>
          <w:sz w:val="32"/>
          <w:szCs w:val="32"/>
        </w:rPr>
        <w:t>编制项目经费预算</w:t>
      </w:r>
      <w:r>
        <w:rPr>
          <w:rFonts w:hint="eastAsia" w:ascii="仿宋" w:hAnsi="仿宋" w:eastAsia="仿宋" w:cs="仿宋"/>
          <w:color w:val="000000"/>
          <w:kern w:val="0"/>
          <w:sz w:val="32"/>
          <w:szCs w:val="32"/>
          <w:lang w:eastAsia="zh-CN"/>
        </w:rPr>
        <w:t>。</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由</w:t>
      </w:r>
      <w:r>
        <w:rPr>
          <w:rFonts w:hint="eastAsia" w:ascii="仿宋" w:hAnsi="仿宋" w:eastAsia="仿宋" w:cs="仿宋"/>
          <w:color w:val="000000"/>
          <w:kern w:val="0"/>
          <w:sz w:val="32"/>
          <w:szCs w:val="32"/>
        </w:rPr>
        <w:t>学院主持，多个部门共同承担的项目，各部门应根据各自承担的任务分别编制经费预算，并由主持单位进行审核汇总。项目负责人应加强统筹协调，避免项目承担部门与合作部门、单位之间重复预算。</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left"/>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五</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科研经费预算包括收入预算与支出预算。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收入预算是指同一项目不同来源渠道的经费预算。包括申请的专项经费和自筹经费。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支出预算是指与科研相关的各类开支预算。包括直接费用、间接费用等。</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lang w:eastAsia="zh-CN"/>
        </w:rPr>
        <w:t>（一）直接费用</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直接费用</w:t>
      </w:r>
      <w:r>
        <w:rPr>
          <w:rFonts w:hint="eastAsia" w:ascii="仿宋" w:hAnsi="仿宋" w:eastAsia="仿宋" w:cs="仿宋"/>
          <w:color w:val="000000"/>
          <w:kern w:val="0"/>
          <w:sz w:val="32"/>
          <w:szCs w:val="32"/>
        </w:rPr>
        <w:t>是指在项目实施过程中发生的与之直接相关的费用，按设备费、业务费、劳务费三大类编制预算。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1.设备费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指在项目实施过程中购置设备和设备耗材、升级维护现有设备以及租用外单位设备而发生的费用。计算类仪器设备和软件工具可在设备费科目列支。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2.业务费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指在项目实施过程中购置图书、收集资料、复印翻拍、检索文献、采集数据、翻译资料、印刷出版、会议/差旅/国际合作与交流等费用以及其他相关支出。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3.劳务费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指在项目实施过程中支付给项目组成员、参与项目研究的访问学者、学生以及项目组临时聘用的研究人员、科研辅助人员、科研财务助理</w:t>
      </w:r>
      <w:r>
        <w:rPr>
          <w:rFonts w:hint="eastAsia" w:ascii="仿宋" w:hAnsi="仿宋" w:eastAsia="仿宋" w:cs="仿宋"/>
          <w:color w:val="000000"/>
          <w:kern w:val="0"/>
          <w:sz w:val="32"/>
          <w:szCs w:val="32"/>
          <w:lang w:eastAsia="zh-CN"/>
        </w:rPr>
        <w:t>的费用</w:t>
      </w:r>
      <w:r>
        <w:rPr>
          <w:rFonts w:hint="eastAsia" w:ascii="仿宋" w:hAnsi="仿宋" w:eastAsia="仿宋" w:cs="仿宋"/>
          <w:color w:val="000000"/>
          <w:kern w:val="0"/>
          <w:sz w:val="32"/>
          <w:szCs w:val="32"/>
        </w:rPr>
        <w:t>以及支付给临时聘请的咨询专家等费用。</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lang w:eastAsia="zh-CN"/>
        </w:rPr>
        <w:t>（二）</w:t>
      </w:r>
      <w:r>
        <w:rPr>
          <w:rFonts w:hint="eastAsia" w:ascii="楷体" w:hAnsi="楷体" w:eastAsia="楷体" w:cs="楷体"/>
          <w:b/>
          <w:bCs/>
          <w:color w:val="000000"/>
          <w:kern w:val="0"/>
          <w:sz w:val="32"/>
          <w:szCs w:val="32"/>
        </w:rPr>
        <w:t>间接费用</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间接费用</w:t>
      </w:r>
      <w:r>
        <w:rPr>
          <w:rFonts w:hint="eastAsia" w:ascii="仿宋" w:hAnsi="仿宋" w:eastAsia="仿宋" w:cs="仿宋"/>
          <w:color w:val="000000"/>
          <w:kern w:val="0"/>
          <w:sz w:val="32"/>
          <w:szCs w:val="32"/>
        </w:rPr>
        <w:t>是指项目承担单位在组织实施项目过程中发生的无法在直接费用中列支的相关费用，按管理费、间接成本及绩效支出三大类编制预算。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1.管理费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学校相关管理部门在实施项目过程中组织、协调、评审、鉴定等管理性工作所需费用。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2.间接成本</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项目实施过程中，学校为项目研究提供的仪器设备及房屋、水、电、气、暖消耗等间接成本以及项目实施过程中发生的无法在直接费用中列支的其他相关费用等。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3.绩效支出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绩效支出发放对象为项目计划任务书所列</w:t>
      </w:r>
      <w:r>
        <w:rPr>
          <w:rFonts w:hint="eastAsia" w:ascii="仿宋" w:hAnsi="仿宋" w:eastAsia="仿宋" w:cs="仿宋"/>
          <w:color w:val="000000"/>
          <w:kern w:val="0"/>
          <w:sz w:val="32"/>
          <w:szCs w:val="32"/>
          <w:lang w:eastAsia="zh-CN"/>
        </w:rPr>
        <w:t>主持人及</w:t>
      </w:r>
      <w:r>
        <w:rPr>
          <w:rFonts w:hint="eastAsia" w:ascii="仿宋" w:hAnsi="仿宋" w:eastAsia="仿宋" w:cs="仿宋"/>
          <w:color w:val="000000"/>
          <w:kern w:val="0"/>
          <w:sz w:val="32"/>
          <w:szCs w:val="32"/>
        </w:rPr>
        <w:t>参与人员。</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lang w:eastAsia="zh-CN"/>
        </w:rPr>
        <w:t>第十六条</w:t>
      </w:r>
      <w:r>
        <w:rPr>
          <w:rFonts w:hint="eastAsia" w:ascii="仿宋" w:hAnsi="仿宋" w:eastAsia="仿宋" w:cs="仿宋"/>
          <w:b/>
          <w:bCs/>
          <w:color w:val="000000"/>
          <w:kern w:val="0"/>
          <w:sz w:val="32"/>
          <w:szCs w:val="32"/>
          <w:lang w:val="en-US" w:eastAsia="zh-CN"/>
        </w:rPr>
        <w:t xml:space="preserve"> </w:t>
      </w:r>
      <w:r>
        <w:rPr>
          <w:rFonts w:hint="eastAsia" w:ascii="仿宋" w:hAnsi="仿宋" w:eastAsia="仿宋" w:cs="仿宋"/>
          <w:color w:val="000000"/>
          <w:kern w:val="0"/>
          <w:sz w:val="32"/>
          <w:szCs w:val="32"/>
          <w:lang w:eastAsia="zh-CN"/>
        </w:rPr>
        <w:t>直接</w:t>
      </w:r>
      <w:r>
        <w:rPr>
          <w:rFonts w:hint="eastAsia" w:ascii="仿宋" w:hAnsi="仿宋" w:eastAsia="仿宋" w:cs="仿宋"/>
          <w:color w:val="000000"/>
          <w:kern w:val="0"/>
          <w:sz w:val="32"/>
          <w:szCs w:val="32"/>
        </w:rPr>
        <w:t>费用支出预算比例，根据项目立项部门的项目管理和经费使用规定执行。没有规定的，由项目负责人编制项目预算，科研处、计划财务处审定。</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间接费用按照直接费用扣除设备购置费后的一定比例核定，由项目承担单位统筹安排使用。其中，500万元以下的部分，间接费用比例为不超过30%，500万元至1000万元的部分为不超过25%，1000万元以上的部分为不超过20%；对数学等纯理论基础研究项目，间接费用比例进一步提高到不超过60%。</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项目负责人可根据项目体量及执行情况聘请科研财务助理，科研财务助理在项目预算编制和调剂、经费支出、财务决算和验收等方面为项目负责人提供专业化服务。科研财务助理所需费用可从科研项目间接费用的绩效经费或直接费用的劳务费中列支。</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七</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纵向科研经费预算管理应严格按照批复执行，不得随意调整。项目间接费用预算不得调整；直接费用预算中除设备费外确需调整的，由项目负责人根据实际需要</w:t>
      </w:r>
      <w:r>
        <w:rPr>
          <w:rFonts w:hint="eastAsia" w:ascii="仿宋" w:hAnsi="仿宋" w:eastAsia="仿宋" w:cs="仿宋"/>
          <w:color w:val="000000"/>
          <w:kern w:val="0"/>
          <w:sz w:val="32"/>
          <w:szCs w:val="32"/>
          <w:lang w:eastAsia="zh-CN"/>
        </w:rPr>
        <w:t>自主安排，但须在结题验收材料中附调整后的预算方案。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横向科研项目预算的调整按照合同规定或当事人约定进行。</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八</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预算执行过程中实行重大事项报告制度。在项目实施期间出现项目计划任务调整、预算总额调整、项目负责人变更或调动单位、承担单位变更、项目合作单位变更等影响经费预算执行的重大事项，项目负责人、项目承担教学系（部）应当及时以书面报告形式上报学院科研处，由科研处根据项目研究需要进行审核，上报项目主管部门审批。</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第十</w:t>
      </w:r>
      <w:r>
        <w:rPr>
          <w:rFonts w:hint="eastAsia" w:ascii="仿宋" w:hAnsi="仿宋" w:eastAsia="仿宋" w:cs="仿宋"/>
          <w:b/>
          <w:color w:val="000000"/>
          <w:kern w:val="0"/>
          <w:sz w:val="32"/>
          <w:szCs w:val="32"/>
          <w:lang w:eastAsia="zh-CN"/>
        </w:rPr>
        <w:t>九</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准备结题的科研项目，项目负责人应全面清理资金收支和应收应付等款项（包括外拨、分账和借款），如实编报资金决算，由学校财务管理部门审核。部分项目应按照结题要求，选择具备资质的审计单位完成结题财务审计，并作为财务验收的依据。项目负责人对决算报表的真实性负责。</w:t>
      </w:r>
    </w:p>
    <w:p>
      <w:pPr>
        <w:keepNext w:val="0"/>
        <w:keepLines w:val="0"/>
        <w:pageBreakBefore w:val="0"/>
        <w:kinsoku/>
        <w:wordWrap/>
        <w:overflowPunct/>
        <w:topLinePunct w:val="0"/>
        <w:autoSpaceDE/>
        <w:autoSpaceDN/>
        <w:bidi w:val="0"/>
        <w:adjustRightInd w:val="0"/>
        <w:snapToGrid w:val="0"/>
        <w:spacing w:line="560" w:lineRule="exact"/>
        <w:ind w:firstLine="640"/>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第四章  收入与支出管理</w:t>
      </w:r>
    </w:p>
    <w:p>
      <w:pPr>
        <w:keepNext w:val="0"/>
        <w:keepLines w:val="0"/>
        <w:pageBreakBefore w:val="0"/>
        <w:widowControl/>
        <w:kinsoku/>
        <w:wordWrap/>
        <w:overflowPunct/>
        <w:topLinePunct w:val="0"/>
        <w:autoSpaceDE/>
        <w:autoSpaceDN/>
        <w:bidi w:val="0"/>
        <w:snapToGrid/>
        <w:spacing w:before="227" w:line="560" w:lineRule="exact"/>
        <w:ind w:left="4" w:right="259" w:firstLine="644" w:firstLineChars="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二十</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科研经费到达学院财务账</w:t>
      </w:r>
      <w:r>
        <w:rPr>
          <w:rFonts w:hint="eastAsia" w:ascii="仿宋" w:hAnsi="仿宋" w:eastAsia="仿宋" w:cs="仿宋"/>
          <w:color w:val="000000"/>
          <w:kern w:val="0"/>
          <w:sz w:val="32"/>
          <w:szCs w:val="32"/>
          <w:lang w:eastAsia="zh-CN"/>
        </w:rPr>
        <w:t>面</w:t>
      </w:r>
      <w:r>
        <w:rPr>
          <w:rFonts w:hint="eastAsia" w:ascii="仿宋" w:hAnsi="仿宋" w:eastAsia="仿宋" w:cs="仿宋"/>
          <w:color w:val="000000"/>
          <w:kern w:val="0"/>
          <w:sz w:val="32"/>
          <w:szCs w:val="32"/>
        </w:rPr>
        <w:t>后，由科研处和计划财务处确定经费类别，进行立项登记，确认科研经费。</w:t>
      </w:r>
    </w:p>
    <w:p>
      <w:pPr>
        <w:keepNext w:val="0"/>
        <w:keepLines w:val="0"/>
        <w:pageBreakBefore w:val="0"/>
        <w:widowControl/>
        <w:kinsoku/>
        <w:wordWrap/>
        <w:overflowPunct/>
        <w:topLinePunct w:val="0"/>
        <w:autoSpaceDE/>
        <w:autoSpaceDN/>
        <w:bidi w:val="0"/>
        <w:snapToGrid/>
        <w:spacing w:before="227" w:line="560" w:lineRule="exact"/>
        <w:ind w:left="4" w:right="259" w:firstLine="644" w:firstLineChars="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一</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科研经费支出的报销票据必须符合相关规定</w:t>
      </w:r>
      <w:r>
        <w:rPr>
          <w:rFonts w:hint="eastAsia" w:ascii="仿宋" w:hAnsi="仿宋" w:eastAsia="仿宋" w:cs="仿宋"/>
          <w:color w:val="000000"/>
          <w:kern w:val="0"/>
          <w:sz w:val="32"/>
          <w:szCs w:val="32"/>
          <w:lang w:val="en-US" w:eastAsia="zh-CN"/>
        </w:rPr>
        <w:t>,</w:t>
      </w:r>
      <w:r>
        <w:rPr>
          <w:rFonts w:hint="default" w:ascii="仿宋" w:hAnsi="仿宋" w:eastAsia="仿宋" w:cs="仿宋"/>
          <w:spacing w:val="12"/>
          <w:sz w:val="31"/>
          <w:szCs w:val="31"/>
          <w:lang w:eastAsia="zh-CN"/>
        </w:rPr>
        <w:t>经费</w:t>
      </w:r>
      <w:r>
        <w:rPr>
          <w:rFonts w:hint="eastAsia" w:ascii="仿宋" w:hAnsi="仿宋" w:eastAsia="仿宋" w:cs="仿宋"/>
          <w:spacing w:val="12"/>
          <w:sz w:val="31"/>
          <w:szCs w:val="31"/>
          <w:lang w:eastAsia="zh-CN"/>
        </w:rPr>
        <w:t>报销</w:t>
      </w:r>
      <w:r>
        <w:rPr>
          <w:rFonts w:hint="default" w:ascii="仿宋" w:hAnsi="仿宋" w:eastAsia="仿宋" w:cs="仿宋"/>
          <w:spacing w:val="12"/>
          <w:sz w:val="31"/>
          <w:szCs w:val="31"/>
          <w:lang w:eastAsia="zh-CN"/>
        </w:rPr>
        <w:t>时间原则上应从项目立项登记之日起，至项目结项后</w:t>
      </w:r>
      <w:r>
        <w:rPr>
          <w:rFonts w:hint="eastAsia" w:ascii="仿宋" w:hAnsi="仿宋" w:eastAsia="仿宋" w:cs="仿宋"/>
          <w:spacing w:val="12"/>
          <w:sz w:val="31"/>
          <w:szCs w:val="31"/>
          <w:lang w:eastAsia="zh-CN"/>
        </w:rPr>
        <w:t>一个月内</w:t>
      </w:r>
      <w:r>
        <w:rPr>
          <w:rFonts w:hint="default" w:ascii="仿宋" w:hAnsi="仿宋" w:eastAsia="仿宋" w:cs="仿宋"/>
          <w:spacing w:val="12"/>
          <w:sz w:val="31"/>
          <w:szCs w:val="31"/>
          <w:lang w:val="en-US" w:eastAsia="zh-CN"/>
        </w:rPr>
        <w:t>，项目结项时间以结题文件下发时间为准。</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二</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项目负责人应严格按照预算批复或合同的支出范围和标准使用经费，严禁以任何方式挪用、侵占、</w:t>
      </w:r>
      <w:r>
        <w:rPr>
          <w:rFonts w:hint="eastAsia" w:ascii="仿宋" w:hAnsi="仿宋" w:eastAsia="仿宋" w:cs="仿宋"/>
          <w:color w:val="000000"/>
          <w:kern w:val="0"/>
          <w:sz w:val="32"/>
          <w:szCs w:val="32"/>
          <w:lang w:eastAsia="zh-CN"/>
        </w:rPr>
        <w:t>套</w:t>
      </w:r>
      <w:r>
        <w:rPr>
          <w:rFonts w:hint="eastAsia" w:ascii="仿宋" w:hAnsi="仿宋" w:eastAsia="仿宋" w:cs="仿宋"/>
          <w:color w:val="000000"/>
          <w:kern w:val="0"/>
          <w:sz w:val="32"/>
          <w:szCs w:val="32"/>
        </w:rPr>
        <w:t>取科研经费；严禁编造虚假合同；严禁违规将科研经费转拨、转移到利益相关的单位或个人；严禁购买与科研项目无关的设备、材料；严禁虚构经济业务套取科研经费；严禁在科研经费中报销个人家庭消费支出；严禁虚列、伪造名单，虚报冒领科研劳务费和专家咨询费；严禁开支与项目研究活动无关的宴请、非科研用房物业管理费、娱乐场所消费、旅游费用、福利费用、罚款、捐款、赞助及其他与科研项目无关的费用；严禁设立“小金库”。专家咨询费、劳务费必须开具个人完税证明并通过个人银行卡发放；仪器设备采购必须严格按照国家政府采购制度的规定执行。</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三</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直接费用的支出管理</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（一）设备费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应当严格控制设备购置，鼓励共享、租赁设备以及对现有设备进行升级。</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（二）业务费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具体开支范围可包括：</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1.在项目实施过程中消耗的各种原材料、辅助材料等低值易耗品的采购及运输、装卸、整理等费用。</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由于承担单位自身的技术、工艺和设备等条件的限制，在项目实施过程中委托或与外单位合作（包括承担单位内部独立经济核算单位）进行的检验、测试、化验、加工、计算、试验、设计、制作等所支付的费用。</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3.在项目实施过程中消耗的相关大型仪器设备、专用科学装置等运行发生的可以单独测算的水、电、气、燃料等费用。</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4.在项目实施过程中需要支付的出版费、资料费、印刷费、文献检索费、数据采集费、专业通信费、专利申请及其他知识产权事务等费用。</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5.在项目实施过程中发生的会议费、差旅费、国际合作与交流费等支出。</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会议费。是指组织开展学术研讨、咨询论证及项目协调等活动而发生的会议费用。按国家和学校有关规定严格控制会议规模、会议数量、会议开支标准和会期。会议代表参加会议所发生的城市间交通费，原则上按差旅费管理规定由所在单位报销。因科研活动实际需要，邀请国（境）内外专家、学者和有关人员参加会议，对确需负担的城市间交通费、国际旅费，可由主办单位在会议费等费用中报销。由项目负责人提出申请，经所在部门同意后报送科研处审核备案。</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差旅费。是指开展科学实验（试验）、科学考察、业务调研、学术交流和培训等所发生的城市间交通费、住宿费、伙食补助费和市内交通费等。学术会议和培训的主办单位原则上应为教育主管部门、教指委、行指委、高校或学术机构等，其他商业性公司或机构举办的会议和培训产生的差旅费原则上不从项目资金中开支，确有必要的，须经分管校领导和校长审批。差旅费按照学校有关规定报销。</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用科研资金到外地参加实验（试验）、科学考察、业务调研、学术交流和培训，须由项目负责人提出申请，经所在部门同意后报送科研处审核备案，方可办理出差手续。</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项目（课题）差旅费的总开支不能超过项目总资金的50%。</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国际交流合作费。国际合作与交流费是指研究人员出国（境）、国（境）外专家来华（内地）开展科学技术交流与合作的费用。不纳入国家工作人员因公临时出国批次限量管理范围，相关资金支出不列入“因公出国（境）费用”科目，列支“差旅费”或“会议费”科目，但需要提交外事部门审批报备。</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6.其他费用。主要用于项目实施过程中除上述支出之外的其他业务费支出。在申请预算时应明确列示，单独核定。非项目研究的专用事项支出，需提供充分佐证材料以证明其与项目研究的相关性。</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（三）劳务费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1.劳务费开支标准，参照我区研究和技术服务业人员平均工资水平以及在项目研究中承担的工作任务确定。</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2.劳务费预算由项目负责人按照项目研究实际需要编制，财政供养人员不得列支劳务费。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3.劳务费开支范围不设比例限制。</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4.劳务费按有关税法由财务部门实行个人所得税代扣代缴。</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.高级专业技术职称人员的专家咨询费标准为1500-2400元／人天；其他专业人员的专家咨询费标准为900-1500元／人天；院士、全国知名专家，可按照高级专业技术职称人员的专家咨询费标准上浮50%执行。</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.专家咨询费不得支付给参与本项目及所属项目研究和管理的相关人员。</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（四）</w:t>
      </w:r>
      <w:r>
        <w:rPr>
          <w:rFonts w:hint="eastAsia" w:ascii="仿宋" w:hAnsi="仿宋" w:eastAsia="仿宋" w:cs="仿宋"/>
          <w:color w:val="000000"/>
          <w:kern w:val="0"/>
          <w:sz w:val="32"/>
          <w:szCs w:val="32"/>
        </w:rPr>
        <w:t>科研活动中产生差旅费和专家咨询费使用</w:t>
      </w:r>
      <w:r>
        <w:rPr>
          <w:rFonts w:hint="eastAsia" w:ascii="仿宋" w:hAnsi="仿宋" w:eastAsia="仿宋" w:cs="仿宋"/>
          <w:color w:val="000000"/>
          <w:kern w:val="0"/>
          <w:sz w:val="32"/>
          <w:szCs w:val="32"/>
          <w:lang w:eastAsia="zh-CN"/>
        </w:rPr>
        <w:t>参</w:t>
      </w:r>
      <w:r>
        <w:rPr>
          <w:rFonts w:hint="eastAsia" w:ascii="仿宋" w:hAnsi="仿宋" w:eastAsia="仿宋" w:cs="仿宋"/>
          <w:color w:val="000000"/>
          <w:kern w:val="0"/>
          <w:sz w:val="32"/>
          <w:szCs w:val="32"/>
        </w:rPr>
        <w:t xml:space="preserve">照宁警院发[2022]83号文件相关要求执行。  </w:t>
      </w:r>
    </w:p>
    <w:p>
      <w:pPr>
        <w:keepNext w:val="0"/>
        <w:keepLines w:val="0"/>
        <w:pageBreakBefore w:val="0"/>
        <w:widowControl/>
        <w:numPr>
          <w:ilvl w:val="0"/>
          <w:numId w:val="0"/>
        </w:numPr>
        <w:kinsoku/>
        <w:wordWrap/>
        <w:overflowPunct/>
        <w:topLinePunct w:val="0"/>
        <w:autoSpaceDE/>
        <w:autoSpaceDN/>
        <w:bidi w:val="0"/>
        <w:snapToGrid w:val="0"/>
        <w:spacing w:line="560" w:lineRule="exact"/>
        <w:ind w:left="630" w:firstLine="0" w:firstLineChars="0"/>
        <w:textAlignment w:val="auto"/>
        <w:rPr>
          <w:rFonts w:ascii="仿宋" w:hAnsi="仿宋" w:eastAsia="仿宋" w:cs="仿宋"/>
          <w:b w:val="0"/>
          <w:bCs/>
          <w:color w:val="000000"/>
          <w:kern w:val="0"/>
          <w:sz w:val="32"/>
          <w:szCs w:val="32"/>
        </w:rPr>
      </w:pPr>
      <w:r>
        <w:rPr>
          <w:rFonts w:hint="eastAsia" w:ascii="仿宋" w:hAnsi="仿宋" w:eastAsia="仿宋" w:cs="仿宋"/>
          <w:b/>
          <w:color w:val="000000"/>
          <w:kern w:val="0"/>
          <w:sz w:val="32"/>
          <w:szCs w:val="32"/>
          <w:lang w:eastAsia="zh-CN"/>
        </w:rPr>
        <w:t>第二十四条</w:t>
      </w:r>
      <w:r>
        <w:rPr>
          <w:rFonts w:hint="eastAsia" w:ascii="仿宋" w:hAnsi="仿宋" w:eastAsia="仿宋" w:cs="仿宋"/>
          <w:b/>
          <w:color w:val="000000"/>
          <w:kern w:val="0"/>
          <w:sz w:val="32"/>
          <w:szCs w:val="32"/>
          <w:lang w:val="en-US" w:eastAsia="zh-CN"/>
        </w:rPr>
        <w:t xml:space="preserve"> </w:t>
      </w:r>
      <w:r>
        <w:rPr>
          <w:rFonts w:hint="eastAsia" w:ascii="仿宋" w:hAnsi="仿宋" w:eastAsia="仿宋" w:cs="仿宋"/>
          <w:b w:val="0"/>
          <w:bCs/>
          <w:color w:val="000000"/>
          <w:kern w:val="0"/>
          <w:sz w:val="32"/>
          <w:szCs w:val="32"/>
        </w:rPr>
        <w:t>间接费用的支出管理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间接费用按分类核定、比例控制、统筹安排和规范使用的原则管理和使用。为保障项目支撑条件，课题组在编制预算时原则上按上级主管部门相关文件的规定，合理预算项目间接费用。若遇特殊情况，课题组预算的间接费用不足时，间接费用按照优先保证管理费用支出的原则进行分配。</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val="0"/>
          <w:color w:val="000000"/>
          <w:kern w:val="0"/>
          <w:sz w:val="32"/>
          <w:szCs w:val="32"/>
        </w:rPr>
      </w:pPr>
      <w:r>
        <w:rPr>
          <w:rFonts w:hint="eastAsia" w:ascii="楷体" w:hAnsi="楷体" w:eastAsia="楷体" w:cs="楷体"/>
          <w:b/>
          <w:bCs w:val="0"/>
          <w:color w:val="000000"/>
          <w:kern w:val="0"/>
          <w:sz w:val="32"/>
          <w:szCs w:val="32"/>
          <w:lang w:eastAsia="zh-CN"/>
        </w:rPr>
        <w:t>（一）</w:t>
      </w:r>
      <w:r>
        <w:rPr>
          <w:rFonts w:hint="eastAsia" w:ascii="楷体" w:hAnsi="楷体" w:eastAsia="楷体" w:cs="楷体"/>
          <w:b/>
          <w:bCs w:val="0"/>
          <w:color w:val="000000"/>
          <w:kern w:val="0"/>
          <w:sz w:val="32"/>
          <w:szCs w:val="32"/>
        </w:rPr>
        <w:t>管理费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rPr>
        <w:t>上级立项单位在有关项目资金管理办法中有明确规定的，学校按规定执行；没有明确规定提取比例的，学校对于所承担的纵向及立项单位有资金支持的学会（协会）项目，按总资助资金扣除外拨资金后的</w:t>
      </w: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%提取管理费。校级项目、横向项目及没有资金支持的学会（协会）项目资金预算不列管理费用，有关管理费用由学院单独列支。</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val="0"/>
          <w:color w:val="000000"/>
          <w:kern w:val="0"/>
          <w:sz w:val="32"/>
          <w:szCs w:val="32"/>
        </w:rPr>
      </w:pPr>
      <w:r>
        <w:rPr>
          <w:rFonts w:hint="eastAsia" w:ascii="楷体" w:hAnsi="楷体" w:eastAsia="楷体" w:cs="楷体"/>
          <w:b/>
          <w:bCs w:val="0"/>
          <w:color w:val="000000"/>
          <w:kern w:val="0"/>
          <w:sz w:val="32"/>
          <w:szCs w:val="32"/>
          <w:lang w:eastAsia="zh-CN"/>
        </w:rPr>
        <w:t>（二）</w:t>
      </w:r>
      <w:r>
        <w:rPr>
          <w:rFonts w:hint="eastAsia" w:ascii="楷体" w:hAnsi="楷体" w:eastAsia="楷体" w:cs="楷体"/>
          <w:b/>
          <w:bCs w:val="0"/>
          <w:color w:val="000000"/>
          <w:kern w:val="0"/>
          <w:sz w:val="32"/>
          <w:szCs w:val="32"/>
        </w:rPr>
        <w:t xml:space="preserve">间接成本 </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1.</w:t>
      </w:r>
      <w:r>
        <w:rPr>
          <w:rFonts w:hint="eastAsia" w:ascii="仿宋" w:hAnsi="仿宋" w:eastAsia="仿宋" w:cs="仿宋"/>
          <w:b w:val="0"/>
          <w:bCs/>
          <w:color w:val="000000"/>
          <w:kern w:val="0"/>
          <w:sz w:val="32"/>
          <w:szCs w:val="32"/>
        </w:rPr>
        <w:t>学校为项目研究提供的</w:t>
      </w:r>
      <w:r>
        <w:rPr>
          <w:rFonts w:hint="eastAsia" w:ascii="仿宋" w:hAnsi="仿宋" w:eastAsia="仿宋" w:cs="仿宋"/>
          <w:b w:val="0"/>
          <w:bCs/>
          <w:color w:val="000000"/>
          <w:kern w:val="0"/>
          <w:sz w:val="32"/>
          <w:szCs w:val="32"/>
          <w:lang w:eastAsia="zh-CN"/>
        </w:rPr>
        <w:t>可准确计量的</w:t>
      </w:r>
      <w:r>
        <w:rPr>
          <w:rFonts w:hint="eastAsia" w:ascii="仿宋" w:hAnsi="仿宋" w:eastAsia="仿宋" w:cs="仿宋"/>
          <w:b w:val="0"/>
          <w:bCs/>
          <w:color w:val="000000"/>
          <w:kern w:val="0"/>
          <w:sz w:val="32"/>
          <w:szCs w:val="32"/>
        </w:rPr>
        <w:t>现有仪器设备及房屋使用费和水、电、气、暖消耗，科研用房屋租赁、维修及物业管理费。</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2.</w:t>
      </w:r>
      <w:r>
        <w:rPr>
          <w:rFonts w:hint="eastAsia" w:ascii="仿宋" w:hAnsi="仿宋" w:eastAsia="仿宋" w:cs="仿宋"/>
          <w:b w:val="0"/>
          <w:bCs/>
          <w:color w:val="000000"/>
          <w:kern w:val="0"/>
          <w:sz w:val="32"/>
          <w:szCs w:val="32"/>
        </w:rPr>
        <w:t>计算机、打印机、投影仪等通用设备及耗材配件购置费，办公用品购置费、按规定等级和标准列支的劳保费用。</w:t>
      </w:r>
    </w:p>
    <w:p>
      <w:pPr>
        <w:keepNext w:val="0"/>
        <w:keepLines w:val="0"/>
        <w:pageBreakBefore w:val="0"/>
        <w:widowControl/>
        <w:kinsoku/>
        <w:wordWrap/>
        <w:overflowPunct/>
        <w:topLinePunct w:val="0"/>
        <w:autoSpaceDE/>
        <w:autoSpaceDN/>
        <w:bidi w:val="0"/>
        <w:snapToGrid w:val="0"/>
        <w:spacing w:line="560" w:lineRule="exact"/>
        <w:ind w:firstLine="640" w:firstLineChars="200"/>
        <w:textAlignment w:val="auto"/>
        <w:rPr>
          <w:rFonts w:hint="eastAsia" w:ascii="仿宋" w:hAnsi="仿宋" w:eastAsia="仿宋" w:cs="仿宋"/>
          <w:b w:val="0"/>
          <w:bCs/>
          <w:color w:val="000000"/>
          <w:kern w:val="0"/>
          <w:sz w:val="32"/>
          <w:szCs w:val="32"/>
        </w:rPr>
      </w:pPr>
      <w:r>
        <w:rPr>
          <w:rFonts w:hint="eastAsia" w:ascii="仿宋" w:hAnsi="仿宋" w:eastAsia="仿宋" w:cs="仿宋"/>
          <w:b w:val="0"/>
          <w:bCs/>
          <w:color w:val="000000"/>
          <w:kern w:val="0"/>
          <w:sz w:val="32"/>
          <w:szCs w:val="32"/>
          <w:lang w:val="en-US" w:eastAsia="zh-CN"/>
        </w:rPr>
        <w:t>3.</w:t>
      </w:r>
      <w:r>
        <w:rPr>
          <w:rFonts w:hint="eastAsia" w:ascii="仿宋" w:hAnsi="仿宋" w:eastAsia="仿宋" w:cs="仿宋"/>
          <w:b w:val="0"/>
          <w:bCs/>
          <w:color w:val="000000"/>
          <w:kern w:val="0"/>
          <w:sz w:val="32"/>
          <w:szCs w:val="32"/>
        </w:rPr>
        <w:t>无法在直接费用中列支的其他相关费用。</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hint="eastAsia" w:ascii="楷体" w:hAnsi="楷体" w:eastAsia="楷体" w:cs="楷体"/>
          <w:b/>
          <w:bCs w:val="0"/>
          <w:color w:val="000000"/>
          <w:kern w:val="0"/>
          <w:sz w:val="32"/>
          <w:szCs w:val="32"/>
        </w:rPr>
      </w:pPr>
      <w:r>
        <w:rPr>
          <w:rFonts w:hint="eastAsia" w:ascii="楷体" w:hAnsi="楷体" w:eastAsia="楷体" w:cs="楷体"/>
          <w:b/>
          <w:bCs w:val="0"/>
          <w:color w:val="000000"/>
          <w:kern w:val="0"/>
          <w:sz w:val="32"/>
          <w:szCs w:val="32"/>
          <w:lang w:eastAsia="zh-CN"/>
        </w:rPr>
        <w:t>（三）</w:t>
      </w:r>
      <w:r>
        <w:rPr>
          <w:rFonts w:hint="eastAsia" w:ascii="楷体" w:hAnsi="楷体" w:eastAsia="楷体" w:cs="楷体"/>
          <w:b/>
          <w:bCs w:val="0"/>
          <w:color w:val="000000"/>
          <w:kern w:val="0"/>
          <w:sz w:val="32"/>
          <w:szCs w:val="32"/>
        </w:rPr>
        <w:t xml:space="preserve">绩效支出 </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Cs/>
          <w:color w:val="000000"/>
          <w:kern w:val="0"/>
          <w:sz w:val="32"/>
          <w:szCs w:val="32"/>
        </w:rPr>
      </w:pPr>
      <w:r>
        <w:rPr>
          <w:rFonts w:hint="eastAsia" w:ascii="仿宋" w:hAnsi="仿宋" w:eastAsia="仿宋" w:cs="仿宋"/>
          <w:b w:val="0"/>
          <w:bCs/>
          <w:color w:val="000000"/>
          <w:kern w:val="0"/>
          <w:sz w:val="32"/>
          <w:szCs w:val="32"/>
        </w:rPr>
        <w:t>绩效支出按项目主管部门资金管理规定和批复预算执行，无支出比例限制。绩效支出要据实列支，应当与参与人员在项目工作中的实际贡献挂钩。在扣除管理费用和间接成本后，间接费用余额可全部用于科研人员绩效支出，不纳入学校绩效工资总量。绩效支出只能用于项目组成员，不得截留、挤占、挪用。绩效支出应在项目结题时一次性报结。</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存在以下情况之一的，将不予发放绩效；对已发放的绩效，学院将追回并统筹使用。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未按规定要求预算间接费用和绩效支出的项目；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未按要求及时报送课题相关材料，包括申请书、任务书、年度进展报告、中期总结报告、验收材料及其他相关文件等；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在项目执行过程中，对项目负责人、参加人员、经费预算、研究目标、研究内容等重要事项调整未按要求提前报批；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无正当理由，课题未按合同进度执行，未按期结题的，或未按期落实上级主管部门提出的整改要求的；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6.截止项目决算时，无其他实质性费用支出的项目；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存在违反国家法律法规、学院规章制度等以及其他影响学院声誉的行为。</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五</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横向科研经费实行合同管理，按照科研合同约定的经费用途、范围和开支标准，执行国家和学院相关管理办法，合理、规范使用科研经费。</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六</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科研处按照相关管理办法和项目合同要求，及时组织与督促项目负责人做好结题验收工作，计划财务处根据项目负责人科研经费决算申请</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依据学院财务报销流程及细则办理结题财务手续。</w:t>
      </w:r>
    </w:p>
    <w:p>
      <w:pPr>
        <w:keepNext w:val="0"/>
        <w:keepLines w:val="0"/>
        <w:pageBreakBefore w:val="0"/>
        <w:kinsoku/>
        <w:wordWrap/>
        <w:overflowPunct/>
        <w:topLinePunct w:val="0"/>
        <w:autoSpaceDE/>
        <w:autoSpaceDN/>
        <w:bidi w:val="0"/>
        <w:adjustRightInd w:val="0"/>
        <w:snapToGrid w:val="0"/>
        <w:spacing w:line="560" w:lineRule="exact"/>
        <w:ind w:firstLine="640"/>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第五章  结余经费管理</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七</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结余经费是指科研项目收入与支出相抵后的余额，即指当预算工作目标已完成，或者因故终止，剩余的资金。</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八</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凡中止、撤销或未通过验收的项目，或因项目负责人调离、离岗等原因不能继续主持，且无人负责的项目，</w:t>
      </w:r>
      <w:r>
        <w:rPr>
          <w:rFonts w:hint="eastAsia" w:ascii="仿宋" w:hAnsi="仿宋" w:eastAsia="仿宋" w:cs="仿宋"/>
          <w:color w:val="000000"/>
          <w:kern w:val="0"/>
          <w:sz w:val="32"/>
          <w:szCs w:val="32"/>
          <w:lang w:eastAsia="zh-CN"/>
        </w:rPr>
        <w:t>项目资金</w:t>
      </w:r>
      <w:r>
        <w:rPr>
          <w:rFonts w:hint="eastAsia" w:ascii="仿宋" w:hAnsi="仿宋" w:eastAsia="仿宋" w:cs="仿宋"/>
          <w:color w:val="000000"/>
          <w:kern w:val="0"/>
          <w:sz w:val="32"/>
          <w:szCs w:val="32"/>
        </w:rPr>
        <w:t>由科研处与资金来源方协商处理。</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第六章  资产管理</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第二十</w:t>
      </w:r>
      <w:r>
        <w:rPr>
          <w:rFonts w:hint="eastAsia" w:ascii="仿宋" w:hAnsi="仿宋" w:eastAsia="仿宋" w:cs="仿宋"/>
          <w:b/>
          <w:color w:val="000000"/>
          <w:kern w:val="0"/>
          <w:sz w:val="32"/>
          <w:szCs w:val="32"/>
          <w:lang w:eastAsia="zh-CN"/>
        </w:rPr>
        <w:t>九</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除横向课题根据合同另有规定外，凡使用科研经费购置的固定资产和形成的无形资产，均属于国有资产，必须纳入学院资产统一管理。应按国有资产管理相关规定办理手续，不得以任何方式隐匿、私自转让、非法占有国有资产或利用国有资产谋取私利。</w:t>
      </w:r>
    </w:p>
    <w:p>
      <w:pPr>
        <w:keepNext w:val="0"/>
        <w:keepLines w:val="0"/>
        <w:pageBreakBefore w:val="0"/>
        <w:widowControl/>
        <w:kinsoku/>
        <w:wordWrap/>
        <w:overflowPunct/>
        <w:topLinePunct w:val="0"/>
        <w:autoSpaceDE/>
        <w:autoSpaceDN/>
        <w:bidi w:val="0"/>
        <w:snapToGrid w:val="0"/>
        <w:spacing w:line="560" w:lineRule="exact"/>
        <w:ind w:firstLine="643" w:firstLineChars="200"/>
        <w:textAlignment w:val="auto"/>
        <w:rPr>
          <w:rFonts w:ascii="仿宋" w:hAnsi="仿宋" w:eastAsia="仿宋" w:cs="仿宋"/>
          <w:color w:val="000000"/>
          <w:kern w:val="0"/>
          <w:sz w:val="32"/>
          <w:szCs w:val="32"/>
        </w:rPr>
      </w:pPr>
      <w:r>
        <w:rPr>
          <w:rFonts w:hint="eastAsia" w:ascii="仿宋" w:hAnsi="仿宋" w:eastAsia="仿宋" w:cs="仿宋"/>
          <w:b/>
          <w:color w:val="000000"/>
          <w:kern w:val="0"/>
          <w:sz w:val="32"/>
          <w:szCs w:val="32"/>
        </w:rPr>
        <w:t>第</w:t>
      </w:r>
      <w:r>
        <w:rPr>
          <w:rFonts w:hint="eastAsia" w:ascii="仿宋" w:hAnsi="仿宋" w:eastAsia="仿宋" w:cs="仿宋"/>
          <w:b/>
          <w:color w:val="000000"/>
          <w:kern w:val="0"/>
          <w:sz w:val="32"/>
          <w:szCs w:val="32"/>
          <w:lang w:eastAsia="zh-CN"/>
        </w:rPr>
        <w:t>三十</w:t>
      </w:r>
      <w:r>
        <w:rPr>
          <w:rFonts w:hint="eastAsia" w:ascii="仿宋" w:hAnsi="仿宋" w:eastAsia="仿宋" w:cs="仿宋"/>
          <w:b/>
          <w:color w:val="000000"/>
          <w:kern w:val="0"/>
          <w:sz w:val="32"/>
          <w:szCs w:val="32"/>
        </w:rPr>
        <w:t>条</w:t>
      </w:r>
      <w:r>
        <w:rPr>
          <w:rFonts w:hint="eastAsia" w:ascii="仿宋" w:hAnsi="仿宋" w:eastAsia="仿宋" w:cs="仿宋"/>
          <w:color w:val="000000"/>
          <w:kern w:val="0"/>
          <w:sz w:val="32"/>
          <w:szCs w:val="32"/>
        </w:rPr>
        <w:t xml:space="preserve"> 除项目管理办法或项目合同另有规定外，科研成果推广应用、转化转让应由学院按照《中华人民共和国促进成果转化法》和《高等学校知识产权保护管理规定》等规章执行。</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黑体" w:hAnsi="黑体" w:eastAsia="黑体" w:cs="仿宋"/>
          <w:bCs/>
          <w:color w:val="000000"/>
          <w:kern w:val="0"/>
          <w:sz w:val="32"/>
          <w:szCs w:val="32"/>
        </w:rPr>
      </w:pPr>
      <w:r>
        <w:rPr>
          <w:rFonts w:hint="eastAsia" w:ascii="黑体" w:hAnsi="黑体" w:eastAsia="黑体" w:cs="仿宋"/>
          <w:bCs/>
          <w:color w:val="000000"/>
          <w:kern w:val="0"/>
          <w:sz w:val="32"/>
          <w:szCs w:val="32"/>
        </w:rPr>
        <w:t>第七章  附则</w:t>
      </w:r>
    </w:p>
    <w:p>
      <w:pPr>
        <w:keepNext w:val="0"/>
        <w:keepLines w:val="0"/>
        <w:pageBreakBefore w:val="0"/>
        <w:widowControl/>
        <w:kinsoku/>
        <w:wordWrap/>
        <w:overflowPunct/>
        <w:topLinePunct w:val="0"/>
        <w:autoSpaceDE/>
        <w:autoSpaceDN/>
        <w:bidi w:val="0"/>
        <w:snapToGrid w:val="0"/>
        <w:spacing w:line="560" w:lineRule="exact"/>
        <w:ind w:firstLine="803" w:firstLineChars="250"/>
        <w:textAlignment w:val="auto"/>
        <w:rPr>
          <w:rFonts w:hint="eastAsia" w:ascii="仿宋" w:hAnsi="仿宋" w:eastAsia="仿宋" w:cs="仿宋"/>
          <w:b w:val="0"/>
          <w:bCs w:val="0"/>
          <w:color w:val="000000"/>
          <w:kern w:val="0"/>
          <w:sz w:val="32"/>
          <w:szCs w:val="32"/>
          <w:lang w:bidi="ar"/>
        </w:rPr>
      </w:pPr>
      <w:r>
        <w:rPr>
          <w:rFonts w:hint="eastAsia" w:ascii="仿宋" w:hAnsi="仿宋" w:eastAsia="仿宋" w:cs="仿宋"/>
          <w:b/>
          <w:bCs/>
          <w:color w:val="000000"/>
          <w:kern w:val="0"/>
          <w:sz w:val="32"/>
          <w:szCs w:val="32"/>
          <w:lang w:bidi="ar"/>
        </w:rPr>
        <w:t>第</w:t>
      </w:r>
      <w:r>
        <w:rPr>
          <w:rFonts w:hint="eastAsia" w:ascii="仿宋" w:hAnsi="仿宋" w:eastAsia="仿宋" w:cs="仿宋"/>
          <w:b/>
          <w:bCs/>
          <w:color w:val="000000"/>
          <w:kern w:val="0"/>
          <w:sz w:val="32"/>
          <w:szCs w:val="32"/>
          <w:lang w:eastAsia="zh-CN" w:bidi="ar"/>
        </w:rPr>
        <w:t>三十一</w:t>
      </w:r>
      <w:r>
        <w:rPr>
          <w:rFonts w:hint="eastAsia" w:ascii="仿宋" w:hAnsi="仿宋" w:eastAsia="仿宋" w:cs="仿宋"/>
          <w:b/>
          <w:bCs/>
          <w:color w:val="000000"/>
          <w:kern w:val="0"/>
          <w:sz w:val="32"/>
          <w:szCs w:val="32"/>
          <w:lang w:bidi="ar"/>
        </w:rPr>
        <w:t>条</w:t>
      </w:r>
      <w:r>
        <w:rPr>
          <w:rFonts w:hint="eastAsia" w:ascii="仿宋" w:hAnsi="仿宋" w:eastAsia="仿宋" w:cs="仿宋"/>
          <w:b w:val="0"/>
          <w:bCs w:val="0"/>
          <w:color w:val="000000"/>
          <w:kern w:val="0"/>
          <w:sz w:val="32"/>
          <w:szCs w:val="32"/>
          <w:lang w:bidi="ar"/>
        </w:rPr>
        <w:t xml:space="preserve"> 本办法如遇国家和上级主管部门政策调整，以国家和上级主管部门规定为准。</w:t>
      </w:r>
    </w:p>
    <w:p>
      <w:pPr>
        <w:keepNext w:val="0"/>
        <w:keepLines w:val="0"/>
        <w:pageBreakBefore w:val="0"/>
        <w:widowControl/>
        <w:kinsoku/>
        <w:wordWrap/>
        <w:overflowPunct/>
        <w:topLinePunct w:val="0"/>
        <w:autoSpaceDE/>
        <w:autoSpaceDN/>
        <w:bidi w:val="0"/>
        <w:snapToGrid w:val="0"/>
        <w:spacing w:line="560" w:lineRule="exact"/>
        <w:ind w:firstLine="803" w:firstLineChars="250"/>
        <w:textAlignment w:val="auto"/>
        <w:rPr>
          <w:rFonts w:hint="eastAsia" w:ascii="仿宋" w:hAnsi="仿宋" w:eastAsia="仿宋" w:cs="仿宋"/>
          <w:b w:val="0"/>
          <w:bCs w:val="0"/>
          <w:color w:val="000000"/>
          <w:kern w:val="0"/>
          <w:sz w:val="32"/>
          <w:szCs w:val="32"/>
          <w:lang w:bidi="ar"/>
        </w:rPr>
      </w:pPr>
      <w:r>
        <w:rPr>
          <w:rFonts w:hint="eastAsia" w:ascii="仿宋" w:hAnsi="仿宋" w:eastAsia="仿宋" w:cs="仿宋"/>
          <w:b/>
          <w:bCs/>
          <w:color w:val="000000"/>
          <w:kern w:val="0"/>
          <w:sz w:val="32"/>
          <w:szCs w:val="32"/>
          <w:lang w:bidi="ar"/>
        </w:rPr>
        <w:t>第</w:t>
      </w:r>
      <w:r>
        <w:rPr>
          <w:rFonts w:hint="eastAsia" w:ascii="仿宋" w:hAnsi="仿宋" w:eastAsia="仿宋" w:cs="仿宋"/>
          <w:b/>
          <w:bCs/>
          <w:color w:val="000000"/>
          <w:kern w:val="0"/>
          <w:sz w:val="32"/>
          <w:szCs w:val="32"/>
          <w:lang w:eastAsia="zh-CN" w:bidi="ar"/>
        </w:rPr>
        <w:t>三</w:t>
      </w:r>
      <w:r>
        <w:rPr>
          <w:rFonts w:hint="eastAsia" w:ascii="仿宋" w:hAnsi="仿宋" w:eastAsia="仿宋" w:cs="仿宋"/>
          <w:b/>
          <w:bCs/>
          <w:color w:val="000000"/>
          <w:kern w:val="0"/>
          <w:sz w:val="32"/>
          <w:szCs w:val="32"/>
          <w:lang w:bidi="ar"/>
        </w:rPr>
        <w:t>十</w:t>
      </w:r>
      <w:r>
        <w:rPr>
          <w:rFonts w:hint="eastAsia" w:ascii="仿宋" w:hAnsi="仿宋" w:eastAsia="仿宋" w:cs="仿宋"/>
          <w:b/>
          <w:bCs/>
          <w:color w:val="000000"/>
          <w:kern w:val="0"/>
          <w:sz w:val="32"/>
          <w:szCs w:val="32"/>
          <w:lang w:eastAsia="zh-CN" w:bidi="ar"/>
        </w:rPr>
        <w:t>二</w:t>
      </w:r>
      <w:r>
        <w:rPr>
          <w:rFonts w:hint="eastAsia" w:ascii="仿宋" w:hAnsi="仿宋" w:eastAsia="仿宋" w:cs="仿宋"/>
          <w:b/>
          <w:bCs/>
          <w:color w:val="000000"/>
          <w:kern w:val="0"/>
          <w:sz w:val="32"/>
          <w:szCs w:val="32"/>
          <w:lang w:bidi="ar"/>
        </w:rPr>
        <w:t>条</w:t>
      </w:r>
      <w:r>
        <w:rPr>
          <w:rFonts w:hint="eastAsia" w:ascii="仿宋" w:hAnsi="仿宋" w:eastAsia="仿宋" w:cs="仿宋"/>
          <w:b w:val="0"/>
          <w:bCs w:val="0"/>
          <w:color w:val="000000"/>
          <w:kern w:val="0"/>
          <w:sz w:val="32"/>
          <w:szCs w:val="32"/>
          <w:lang w:bidi="ar"/>
        </w:rPr>
        <w:t xml:space="preserve"> 本办法由科研处会同计划财务处负责解释。</w:t>
      </w:r>
    </w:p>
    <w:p>
      <w:pPr>
        <w:keepNext w:val="0"/>
        <w:keepLines w:val="0"/>
        <w:pageBreakBefore w:val="0"/>
        <w:widowControl/>
        <w:kinsoku/>
        <w:wordWrap/>
        <w:overflowPunct/>
        <w:topLinePunct w:val="0"/>
        <w:autoSpaceDE/>
        <w:autoSpaceDN/>
        <w:bidi w:val="0"/>
        <w:adjustRightInd/>
        <w:snapToGrid w:val="0"/>
        <w:spacing w:line="560" w:lineRule="exact"/>
        <w:ind w:firstLine="803" w:firstLineChars="250"/>
        <w:textAlignment w:val="auto"/>
        <w:rPr>
          <w:rFonts w:hint="eastAsia" w:ascii="仿宋_GB2312" w:hAnsi="仿宋_GB2312" w:eastAsia="仿宋_GB2312" w:cs="仿宋_GB2312"/>
          <w:sz w:val="32"/>
          <w:szCs w:val="32"/>
        </w:rPr>
      </w:pPr>
      <w:r>
        <w:rPr>
          <w:rFonts w:hint="eastAsia" w:ascii="仿宋" w:hAnsi="仿宋" w:eastAsia="仿宋" w:cs="仿宋"/>
          <w:b/>
          <w:bCs/>
          <w:color w:val="000000"/>
          <w:kern w:val="0"/>
          <w:sz w:val="32"/>
          <w:szCs w:val="32"/>
          <w:lang w:bidi="ar"/>
        </w:rPr>
        <w:t>第</w:t>
      </w:r>
      <w:r>
        <w:rPr>
          <w:rFonts w:hint="eastAsia" w:ascii="仿宋" w:hAnsi="仿宋" w:eastAsia="仿宋" w:cs="仿宋"/>
          <w:b/>
          <w:bCs/>
          <w:color w:val="000000"/>
          <w:kern w:val="0"/>
          <w:sz w:val="32"/>
          <w:szCs w:val="32"/>
          <w:lang w:eastAsia="zh-CN" w:bidi="ar"/>
        </w:rPr>
        <w:t>三</w:t>
      </w:r>
      <w:r>
        <w:rPr>
          <w:rFonts w:hint="eastAsia" w:ascii="仿宋" w:hAnsi="仿宋" w:eastAsia="仿宋" w:cs="仿宋"/>
          <w:b/>
          <w:bCs/>
          <w:color w:val="000000"/>
          <w:kern w:val="0"/>
          <w:sz w:val="32"/>
          <w:szCs w:val="32"/>
          <w:lang w:bidi="ar"/>
        </w:rPr>
        <w:t>十</w:t>
      </w:r>
      <w:r>
        <w:rPr>
          <w:rFonts w:hint="eastAsia" w:ascii="仿宋" w:hAnsi="仿宋" w:eastAsia="仿宋" w:cs="仿宋"/>
          <w:b/>
          <w:bCs/>
          <w:color w:val="000000"/>
          <w:kern w:val="0"/>
          <w:sz w:val="32"/>
          <w:szCs w:val="32"/>
          <w:lang w:eastAsia="zh-CN" w:bidi="ar"/>
        </w:rPr>
        <w:t>三</w:t>
      </w:r>
      <w:r>
        <w:rPr>
          <w:rFonts w:hint="eastAsia" w:ascii="仿宋" w:hAnsi="仿宋" w:eastAsia="仿宋" w:cs="仿宋"/>
          <w:b/>
          <w:bCs/>
          <w:color w:val="000000"/>
          <w:kern w:val="0"/>
          <w:sz w:val="32"/>
          <w:szCs w:val="32"/>
          <w:lang w:bidi="ar"/>
        </w:rPr>
        <w:t>条</w:t>
      </w:r>
      <w:r>
        <w:rPr>
          <w:rFonts w:hint="eastAsia" w:ascii="仿宋" w:hAnsi="仿宋" w:eastAsia="仿宋" w:cs="仿宋"/>
          <w:b w:val="0"/>
          <w:bCs w:val="0"/>
          <w:color w:val="000000"/>
          <w:kern w:val="0"/>
          <w:sz w:val="32"/>
          <w:szCs w:val="32"/>
          <w:lang w:bidi="ar"/>
        </w:rPr>
        <w:t xml:space="preserve"> 本办法自发布之日起执行。本办法发布后，原《宁夏警官职业学院科研项目经费管理办法》（宁</w:t>
      </w:r>
      <w:r>
        <w:rPr>
          <w:rFonts w:hint="eastAsia" w:ascii="仿宋" w:hAnsi="仿宋" w:eastAsia="仿宋" w:cs="仿宋"/>
          <w:b w:val="0"/>
          <w:bCs w:val="0"/>
          <w:color w:val="000000"/>
          <w:kern w:val="0"/>
          <w:sz w:val="32"/>
          <w:szCs w:val="32"/>
          <w:lang w:eastAsia="zh-CN" w:bidi="ar"/>
        </w:rPr>
        <w:t>警</w:t>
      </w:r>
      <w:r>
        <w:rPr>
          <w:rFonts w:hint="eastAsia" w:ascii="仿宋" w:hAnsi="仿宋" w:eastAsia="仿宋" w:cs="仿宋"/>
          <w:b w:val="0"/>
          <w:bCs w:val="0"/>
          <w:color w:val="000000"/>
          <w:kern w:val="0"/>
          <w:sz w:val="32"/>
          <w:szCs w:val="32"/>
          <w:lang w:bidi="ar"/>
        </w:rPr>
        <w:t>院</w:t>
      </w:r>
      <w:r>
        <w:rPr>
          <w:rFonts w:hint="eastAsia" w:ascii="仿宋" w:hAnsi="仿宋" w:eastAsia="仿宋" w:cs="仿宋"/>
          <w:b w:val="0"/>
          <w:bCs w:val="0"/>
          <w:color w:val="000000"/>
          <w:kern w:val="0"/>
          <w:sz w:val="32"/>
          <w:szCs w:val="32"/>
          <w:lang w:eastAsia="zh-CN" w:bidi="ar"/>
        </w:rPr>
        <w:t>发</w:t>
      </w:r>
      <w:r>
        <w:rPr>
          <w:rFonts w:hint="eastAsia" w:ascii="仿宋" w:hAnsi="仿宋" w:eastAsia="仿宋" w:cs="仿宋"/>
          <w:b w:val="0"/>
          <w:bCs w:val="0"/>
          <w:color w:val="000000"/>
          <w:kern w:val="0"/>
          <w:sz w:val="32"/>
          <w:szCs w:val="32"/>
          <w:lang w:bidi="ar"/>
        </w:rPr>
        <w:t>〔2020〕81号）同时废止。</w:t>
      </w: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p>
    <w:p>
      <w:pPr>
        <w:pStyle w:val="2"/>
        <w:rPr>
          <w:rFonts w:hint="eastAsia"/>
          <w:sz w:val="28"/>
          <w:szCs w:val="28"/>
        </w:rPr>
      </w:pPr>
      <w:bookmarkStart w:id="0" w:name="_GoBack"/>
      <w:bookmarkEnd w:id="0"/>
    </w:p>
    <w:p>
      <w:pPr>
        <w:pStyle w:val="2"/>
        <w:rPr>
          <w:rFonts w:hint="eastAsia"/>
          <w:sz w:val="28"/>
          <w:szCs w:val="28"/>
        </w:rPr>
      </w:pPr>
    </w:p>
    <w:p>
      <w:pPr>
        <w:spacing w:line="600" w:lineRule="exact"/>
        <w:ind w:firstLine="280" w:firstLineChars="100"/>
        <w:rPr>
          <w:rFonts w:ascii="宋体" w:hAnsi="宋体" w:cs="宋体"/>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422910</wp:posOffset>
                </wp:positionV>
                <wp:extent cx="536448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pt;margin-top:33.3pt;height:0pt;width:422.4pt;z-index:251660288;mso-width-relative:page;mso-height-relative:page;" filled="f" stroked="t" coordsize="21600,21600" o:gfxdata="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KShgdUAAAAIAQAA&#10;DwAAAAAAAAABACAAAAAiAAAAZHJzL2Rvd25yZXYueG1sUEsBAhQAFAAAAAgAh07iQOl8t7jjAQAA&#10;qgMAAA4AAAAAAAAAAQAgAAAAJAEAAGRycy9lMm9Eb2MueG1sUEsFBgAAAAAGAAYAWQEAAHkFAAAA&#10;AA==&#10;">
                <v:fill on="f" focussize="0,0"/>
                <v:stroke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19685</wp:posOffset>
                </wp:positionV>
                <wp:extent cx="536448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3pt;margin-top:1.55pt;height:0pt;width:422.4pt;z-index:251659264;mso-width-relative:page;mso-height-relative:page;" filled="f" stroked="t" coordsize="21600,21600" o:gfxdata="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bCjrZ0wAAAAYBAAAP&#10;AAAAAAAAAAEAIAAAACIAAABkcnMvZG93bnJldi54bWxQSwECFAAUAAAACACHTuJAPfe0HOQBAACq&#10;AwAADgAAAAAAAAABACAAAAAiAQAAZHJzL2Uyb0RvYy54bWxQSwUGAAAAAAYABgBZAQAAeAUAAAAA&#10;">
                <v:fill on="f" focussize="0,0"/>
                <v:stroke color="#000000" joinstyle="round"/>
                <v:imagedata o:title=""/>
                <o:lock v:ext="edit" aspectratio="f"/>
              </v:line>
            </w:pict>
          </mc:Fallback>
        </mc:AlternateContent>
      </w:r>
      <w:r>
        <w:rPr>
          <w:rFonts w:hint="eastAsia" w:ascii="仿宋" w:hAnsi="仿宋" w:eastAsia="仿宋"/>
          <w:bCs/>
          <w:color w:val="000000"/>
          <w:sz w:val="28"/>
          <w:szCs w:val="28"/>
        </w:rPr>
        <w:t xml:space="preserve">宁夏警官职业学院党政办公室     </w:t>
      </w:r>
      <w:r>
        <w:rPr>
          <w:rFonts w:hint="eastAsia" w:ascii="仿宋" w:hAnsi="仿宋" w:eastAsia="仿宋"/>
          <w:bCs/>
          <w:color w:val="000000"/>
          <w:sz w:val="28"/>
          <w:szCs w:val="28"/>
          <w:lang w:val="en-US" w:eastAsia="zh-CN"/>
        </w:rPr>
        <w:t xml:space="preserve">     </w:t>
      </w:r>
      <w:r>
        <w:rPr>
          <w:rFonts w:hint="eastAsia" w:ascii="仿宋" w:hAnsi="仿宋" w:eastAsia="仿宋"/>
          <w:bCs/>
          <w:color w:val="000000"/>
          <w:sz w:val="28"/>
          <w:szCs w:val="28"/>
        </w:rPr>
        <w:t>202</w:t>
      </w:r>
      <w:r>
        <w:rPr>
          <w:rFonts w:hint="eastAsia" w:ascii="仿宋" w:hAnsi="仿宋" w:eastAsia="仿宋"/>
          <w:bCs/>
          <w:color w:val="000000"/>
          <w:sz w:val="28"/>
          <w:szCs w:val="28"/>
          <w:lang w:val="en-US" w:eastAsia="zh-CN"/>
        </w:rPr>
        <w:t>3</w:t>
      </w:r>
      <w:r>
        <w:rPr>
          <w:rFonts w:hint="eastAsia" w:ascii="仿宋" w:hAnsi="仿宋" w:eastAsia="仿宋"/>
          <w:bCs/>
          <w:color w:val="000000"/>
          <w:sz w:val="28"/>
          <w:szCs w:val="28"/>
        </w:rPr>
        <w:t>年</w:t>
      </w:r>
      <w:r>
        <w:rPr>
          <w:rFonts w:hint="eastAsia" w:ascii="仿宋" w:hAnsi="仿宋" w:eastAsia="仿宋"/>
          <w:bCs/>
          <w:color w:val="000000"/>
          <w:sz w:val="28"/>
          <w:szCs w:val="28"/>
          <w:lang w:val="en-US" w:eastAsia="zh-CN"/>
        </w:rPr>
        <w:t>7</w:t>
      </w:r>
      <w:r>
        <w:rPr>
          <w:rFonts w:hint="eastAsia" w:ascii="仿宋" w:hAnsi="仿宋" w:eastAsia="仿宋"/>
          <w:bCs/>
          <w:color w:val="000000"/>
          <w:sz w:val="28"/>
          <w:szCs w:val="28"/>
        </w:rPr>
        <w:t>月</w:t>
      </w:r>
      <w:r>
        <w:rPr>
          <w:rFonts w:hint="eastAsia" w:ascii="仿宋" w:hAnsi="仿宋" w:eastAsia="仿宋"/>
          <w:bCs/>
          <w:color w:val="000000"/>
          <w:sz w:val="28"/>
          <w:szCs w:val="28"/>
          <w:lang w:val="en-US" w:eastAsia="zh-CN"/>
        </w:rPr>
        <w:t>21</w:t>
      </w:r>
      <w:r>
        <w:rPr>
          <w:rFonts w:hint="eastAsia" w:ascii="仿宋" w:hAnsi="仿宋" w:eastAsia="仿宋"/>
          <w:bCs/>
          <w:color w:val="000000"/>
          <w:sz w:val="28"/>
          <w:szCs w:val="28"/>
        </w:rPr>
        <w:t>日印</w:t>
      </w:r>
      <w:r>
        <w:rPr>
          <w:rFonts w:hint="eastAsia" w:ascii="仿宋" w:hAnsi="仿宋" w:eastAsia="仿宋"/>
          <w:bCs/>
          <w:color w:val="000000"/>
          <w:sz w:val="28"/>
          <w:szCs w:val="28"/>
          <w:lang w:eastAsia="zh-CN"/>
        </w:rPr>
        <w:t>发</w:t>
      </w:r>
      <w:r>
        <w:rPr>
          <w:rFonts w:hint="eastAsia" w:ascii="仿宋" w:hAnsi="仿宋" w:eastAsia="仿宋"/>
          <w:bCs/>
          <w:color w:val="000000"/>
          <w:sz w:val="28"/>
          <w:szCs w:val="28"/>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posOffset>47625</wp:posOffset>
              </wp:positionH>
              <wp:positionV relativeFrom="paragraph">
                <wp:posOffset>66675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5pt;margin-top:5.25pt;height:144pt;width:144pt;mso-position-horizontal-relative:margin;mso-wrap-style:none;z-index:251659264;mso-width-relative:page;mso-height-relative:page;" filled="f" stroked="f" coordsize="21600,21600" o:gfxdata="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IZ5000wAAAAg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sdt>
      <w:sdtPr>
        <w:id w:val="-1165709053"/>
        <w:docPartObj>
          <w:docPartGallery w:val="autotext"/>
        </w:docPartObj>
      </w:sdtPr>
      <w:sdtEndPr>
        <w:rPr>
          <w:rFonts w:ascii="宋体" w:hAnsi="宋体"/>
          <w:sz w:val="28"/>
          <w:szCs w:val="28"/>
        </w:rPr>
      </w:sdtEndPr>
      <w:sdtContent/>
    </w:sdt>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rFonts w:hint="eastAsia" w:ascii="黑体" w:hAnsi="黑体" w:eastAsia="黑体" w:cs="黑体"/>
        <w:b w:val="0"/>
        <w:bCs w:val="0"/>
        <w:sz w:val="36"/>
        <w:szCs w:val="36"/>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5MTVmOGNmMDgwNGVmZGY3ZWFkMTIyZTJmMzE5OTQifQ=="/>
  </w:docVars>
  <w:rsids>
    <w:rsidRoot w:val="00BC3243"/>
    <w:rsid w:val="00007302"/>
    <w:rsid w:val="000125E7"/>
    <w:rsid w:val="00024950"/>
    <w:rsid w:val="00046F81"/>
    <w:rsid w:val="0006106F"/>
    <w:rsid w:val="00097C44"/>
    <w:rsid w:val="000A233F"/>
    <w:rsid w:val="000C1125"/>
    <w:rsid w:val="000E08E5"/>
    <w:rsid w:val="0013119E"/>
    <w:rsid w:val="00133A9F"/>
    <w:rsid w:val="001623A4"/>
    <w:rsid w:val="00163B15"/>
    <w:rsid w:val="001810CD"/>
    <w:rsid w:val="00183A34"/>
    <w:rsid w:val="001B27CD"/>
    <w:rsid w:val="001C0B3D"/>
    <w:rsid w:val="001C5BBD"/>
    <w:rsid w:val="001D6B93"/>
    <w:rsid w:val="001E74C2"/>
    <w:rsid w:val="00205EDE"/>
    <w:rsid w:val="0022160C"/>
    <w:rsid w:val="002404DC"/>
    <w:rsid w:val="00264749"/>
    <w:rsid w:val="0026641F"/>
    <w:rsid w:val="00271DDC"/>
    <w:rsid w:val="0027207C"/>
    <w:rsid w:val="00292541"/>
    <w:rsid w:val="00292738"/>
    <w:rsid w:val="002D7E2B"/>
    <w:rsid w:val="002E2DA9"/>
    <w:rsid w:val="002E7146"/>
    <w:rsid w:val="002E725B"/>
    <w:rsid w:val="002F3B3A"/>
    <w:rsid w:val="00316E15"/>
    <w:rsid w:val="00321038"/>
    <w:rsid w:val="00323B3D"/>
    <w:rsid w:val="003347BA"/>
    <w:rsid w:val="00334B5A"/>
    <w:rsid w:val="00335C98"/>
    <w:rsid w:val="00337DFD"/>
    <w:rsid w:val="003462D0"/>
    <w:rsid w:val="00362F20"/>
    <w:rsid w:val="00371B17"/>
    <w:rsid w:val="00392D75"/>
    <w:rsid w:val="003C26DA"/>
    <w:rsid w:val="003F120D"/>
    <w:rsid w:val="003F2557"/>
    <w:rsid w:val="003F6883"/>
    <w:rsid w:val="00406127"/>
    <w:rsid w:val="0041234E"/>
    <w:rsid w:val="00421B1E"/>
    <w:rsid w:val="004350AE"/>
    <w:rsid w:val="004660A6"/>
    <w:rsid w:val="004768AA"/>
    <w:rsid w:val="004838DD"/>
    <w:rsid w:val="00484094"/>
    <w:rsid w:val="004D0674"/>
    <w:rsid w:val="004D5FB5"/>
    <w:rsid w:val="004E629F"/>
    <w:rsid w:val="004F2202"/>
    <w:rsid w:val="005274CA"/>
    <w:rsid w:val="00540DB1"/>
    <w:rsid w:val="00550969"/>
    <w:rsid w:val="00563DDA"/>
    <w:rsid w:val="00565EFE"/>
    <w:rsid w:val="005704D0"/>
    <w:rsid w:val="00570F51"/>
    <w:rsid w:val="00571E10"/>
    <w:rsid w:val="00577860"/>
    <w:rsid w:val="0058110E"/>
    <w:rsid w:val="005B0EA8"/>
    <w:rsid w:val="005B59B0"/>
    <w:rsid w:val="005C1841"/>
    <w:rsid w:val="005C53F7"/>
    <w:rsid w:val="005D0786"/>
    <w:rsid w:val="005E68E4"/>
    <w:rsid w:val="005F026E"/>
    <w:rsid w:val="006030DD"/>
    <w:rsid w:val="00612E92"/>
    <w:rsid w:val="00620271"/>
    <w:rsid w:val="006229E7"/>
    <w:rsid w:val="00622B03"/>
    <w:rsid w:val="006430DF"/>
    <w:rsid w:val="00646C6F"/>
    <w:rsid w:val="00647FE3"/>
    <w:rsid w:val="00655DC8"/>
    <w:rsid w:val="006578A3"/>
    <w:rsid w:val="006644D4"/>
    <w:rsid w:val="00664632"/>
    <w:rsid w:val="006663C4"/>
    <w:rsid w:val="006716F5"/>
    <w:rsid w:val="00673F7E"/>
    <w:rsid w:val="00681692"/>
    <w:rsid w:val="006B12FD"/>
    <w:rsid w:val="006B231B"/>
    <w:rsid w:val="006B55AD"/>
    <w:rsid w:val="006B5855"/>
    <w:rsid w:val="006C7AA3"/>
    <w:rsid w:val="006E1BC8"/>
    <w:rsid w:val="006F2617"/>
    <w:rsid w:val="00710C5D"/>
    <w:rsid w:val="0071257B"/>
    <w:rsid w:val="00715622"/>
    <w:rsid w:val="0073037B"/>
    <w:rsid w:val="0074092D"/>
    <w:rsid w:val="00752572"/>
    <w:rsid w:val="00762AAE"/>
    <w:rsid w:val="00765EC3"/>
    <w:rsid w:val="00793C68"/>
    <w:rsid w:val="007A4B25"/>
    <w:rsid w:val="007B37B5"/>
    <w:rsid w:val="007C1148"/>
    <w:rsid w:val="007E3AB4"/>
    <w:rsid w:val="00812D4E"/>
    <w:rsid w:val="008165DF"/>
    <w:rsid w:val="00826918"/>
    <w:rsid w:val="008502ED"/>
    <w:rsid w:val="0085303A"/>
    <w:rsid w:val="00854A8E"/>
    <w:rsid w:val="00866DCA"/>
    <w:rsid w:val="00887462"/>
    <w:rsid w:val="00892338"/>
    <w:rsid w:val="008A1AAF"/>
    <w:rsid w:val="008C4AC1"/>
    <w:rsid w:val="008D525D"/>
    <w:rsid w:val="008E3536"/>
    <w:rsid w:val="0091356C"/>
    <w:rsid w:val="00915922"/>
    <w:rsid w:val="009511CC"/>
    <w:rsid w:val="00957B8B"/>
    <w:rsid w:val="00963808"/>
    <w:rsid w:val="00977FB3"/>
    <w:rsid w:val="009A0A75"/>
    <w:rsid w:val="009B342A"/>
    <w:rsid w:val="009E035B"/>
    <w:rsid w:val="00A22159"/>
    <w:rsid w:val="00A2579C"/>
    <w:rsid w:val="00A257DD"/>
    <w:rsid w:val="00A3100F"/>
    <w:rsid w:val="00A3310F"/>
    <w:rsid w:val="00A468A9"/>
    <w:rsid w:val="00A55468"/>
    <w:rsid w:val="00A66E2C"/>
    <w:rsid w:val="00A76C6C"/>
    <w:rsid w:val="00A92FA6"/>
    <w:rsid w:val="00AA77C4"/>
    <w:rsid w:val="00AD17B6"/>
    <w:rsid w:val="00AE4C5C"/>
    <w:rsid w:val="00AF1A35"/>
    <w:rsid w:val="00B04841"/>
    <w:rsid w:val="00B06844"/>
    <w:rsid w:val="00B165DB"/>
    <w:rsid w:val="00B26B37"/>
    <w:rsid w:val="00B34F7B"/>
    <w:rsid w:val="00B61AE1"/>
    <w:rsid w:val="00B669D7"/>
    <w:rsid w:val="00B74927"/>
    <w:rsid w:val="00B81761"/>
    <w:rsid w:val="00BB56C2"/>
    <w:rsid w:val="00BB5A40"/>
    <w:rsid w:val="00BB6626"/>
    <w:rsid w:val="00BC3243"/>
    <w:rsid w:val="00BD29C6"/>
    <w:rsid w:val="00BF086F"/>
    <w:rsid w:val="00BF5594"/>
    <w:rsid w:val="00C05095"/>
    <w:rsid w:val="00C07F9D"/>
    <w:rsid w:val="00C13E50"/>
    <w:rsid w:val="00C2382D"/>
    <w:rsid w:val="00C32E22"/>
    <w:rsid w:val="00C42269"/>
    <w:rsid w:val="00C42C8D"/>
    <w:rsid w:val="00C45EFC"/>
    <w:rsid w:val="00C65F2C"/>
    <w:rsid w:val="00C73977"/>
    <w:rsid w:val="00C765FD"/>
    <w:rsid w:val="00C83EC6"/>
    <w:rsid w:val="00C85914"/>
    <w:rsid w:val="00CC09EC"/>
    <w:rsid w:val="00CC426E"/>
    <w:rsid w:val="00CC4497"/>
    <w:rsid w:val="00CF2B10"/>
    <w:rsid w:val="00D055AB"/>
    <w:rsid w:val="00D42588"/>
    <w:rsid w:val="00D50756"/>
    <w:rsid w:val="00D56EC3"/>
    <w:rsid w:val="00D64E6E"/>
    <w:rsid w:val="00D65192"/>
    <w:rsid w:val="00D858D8"/>
    <w:rsid w:val="00D90AA5"/>
    <w:rsid w:val="00DA3AFB"/>
    <w:rsid w:val="00DB53CD"/>
    <w:rsid w:val="00DC19CB"/>
    <w:rsid w:val="00DC5B35"/>
    <w:rsid w:val="00DD1C8E"/>
    <w:rsid w:val="00DD2976"/>
    <w:rsid w:val="00DE4A61"/>
    <w:rsid w:val="00E0153B"/>
    <w:rsid w:val="00E07670"/>
    <w:rsid w:val="00E12FFB"/>
    <w:rsid w:val="00E30E21"/>
    <w:rsid w:val="00E35EB7"/>
    <w:rsid w:val="00E54D24"/>
    <w:rsid w:val="00E63E61"/>
    <w:rsid w:val="00ED2155"/>
    <w:rsid w:val="00F04F3B"/>
    <w:rsid w:val="00F07EEA"/>
    <w:rsid w:val="00F13575"/>
    <w:rsid w:val="00F20674"/>
    <w:rsid w:val="00F24ECB"/>
    <w:rsid w:val="00F4358D"/>
    <w:rsid w:val="00F873CD"/>
    <w:rsid w:val="00FA661E"/>
    <w:rsid w:val="00FC1B2A"/>
    <w:rsid w:val="00FC41F3"/>
    <w:rsid w:val="0126384F"/>
    <w:rsid w:val="014444FE"/>
    <w:rsid w:val="018067FB"/>
    <w:rsid w:val="029A38EC"/>
    <w:rsid w:val="02CD1F13"/>
    <w:rsid w:val="02E4100B"/>
    <w:rsid w:val="03B424C2"/>
    <w:rsid w:val="046441B2"/>
    <w:rsid w:val="04B14F1D"/>
    <w:rsid w:val="04C4688D"/>
    <w:rsid w:val="051F716A"/>
    <w:rsid w:val="05332E84"/>
    <w:rsid w:val="05A625A8"/>
    <w:rsid w:val="062D05D7"/>
    <w:rsid w:val="065A252A"/>
    <w:rsid w:val="065F2064"/>
    <w:rsid w:val="069B5E85"/>
    <w:rsid w:val="06E415DA"/>
    <w:rsid w:val="07104393"/>
    <w:rsid w:val="07164471"/>
    <w:rsid w:val="07227327"/>
    <w:rsid w:val="07372051"/>
    <w:rsid w:val="07A62D33"/>
    <w:rsid w:val="07DD49A7"/>
    <w:rsid w:val="082C4FE6"/>
    <w:rsid w:val="08474B02"/>
    <w:rsid w:val="084B3A30"/>
    <w:rsid w:val="08A80F9C"/>
    <w:rsid w:val="09884564"/>
    <w:rsid w:val="09E87633"/>
    <w:rsid w:val="0A2E773B"/>
    <w:rsid w:val="0B2C3ECA"/>
    <w:rsid w:val="0B416FFB"/>
    <w:rsid w:val="0B640F3B"/>
    <w:rsid w:val="0B9D01F0"/>
    <w:rsid w:val="0BCA3494"/>
    <w:rsid w:val="0BD024C7"/>
    <w:rsid w:val="0BFD7739"/>
    <w:rsid w:val="0C1202C3"/>
    <w:rsid w:val="0C855155"/>
    <w:rsid w:val="0CCA1C47"/>
    <w:rsid w:val="0CE30D11"/>
    <w:rsid w:val="0D0F4ED6"/>
    <w:rsid w:val="0DE16873"/>
    <w:rsid w:val="0EB817B0"/>
    <w:rsid w:val="0F8F3014"/>
    <w:rsid w:val="0FBC29D6"/>
    <w:rsid w:val="10091618"/>
    <w:rsid w:val="101B1FFB"/>
    <w:rsid w:val="11020FDA"/>
    <w:rsid w:val="11050ACA"/>
    <w:rsid w:val="11377B21"/>
    <w:rsid w:val="11CB2CDD"/>
    <w:rsid w:val="121F5BBC"/>
    <w:rsid w:val="12575356"/>
    <w:rsid w:val="13203999"/>
    <w:rsid w:val="134648AC"/>
    <w:rsid w:val="13536133"/>
    <w:rsid w:val="13BF1404"/>
    <w:rsid w:val="141259D8"/>
    <w:rsid w:val="143811B7"/>
    <w:rsid w:val="14496F20"/>
    <w:rsid w:val="144E049C"/>
    <w:rsid w:val="148368D6"/>
    <w:rsid w:val="150D619F"/>
    <w:rsid w:val="15235081"/>
    <w:rsid w:val="15603573"/>
    <w:rsid w:val="15B37213"/>
    <w:rsid w:val="16ED6288"/>
    <w:rsid w:val="17045380"/>
    <w:rsid w:val="178F10EE"/>
    <w:rsid w:val="179C5A88"/>
    <w:rsid w:val="183323C1"/>
    <w:rsid w:val="1839667F"/>
    <w:rsid w:val="188E418F"/>
    <w:rsid w:val="18C36A86"/>
    <w:rsid w:val="19B80DD0"/>
    <w:rsid w:val="19D46143"/>
    <w:rsid w:val="1A393593"/>
    <w:rsid w:val="1A80254A"/>
    <w:rsid w:val="1ABD2689"/>
    <w:rsid w:val="1B1069E9"/>
    <w:rsid w:val="1B813443"/>
    <w:rsid w:val="1C907DE2"/>
    <w:rsid w:val="1CA35D6A"/>
    <w:rsid w:val="1CAD041D"/>
    <w:rsid w:val="1CF91D8F"/>
    <w:rsid w:val="1D2B51B3"/>
    <w:rsid w:val="1D412E8A"/>
    <w:rsid w:val="1D57445C"/>
    <w:rsid w:val="1D69418F"/>
    <w:rsid w:val="1DA5166B"/>
    <w:rsid w:val="1E126414"/>
    <w:rsid w:val="1E6028EA"/>
    <w:rsid w:val="1E827BFE"/>
    <w:rsid w:val="1EA27102"/>
    <w:rsid w:val="1EC021F7"/>
    <w:rsid w:val="1EF04B68"/>
    <w:rsid w:val="1F1C595D"/>
    <w:rsid w:val="1FB57B5F"/>
    <w:rsid w:val="203F40E9"/>
    <w:rsid w:val="205C7FDB"/>
    <w:rsid w:val="21236756"/>
    <w:rsid w:val="212406BF"/>
    <w:rsid w:val="21920158"/>
    <w:rsid w:val="219D3942"/>
    <w:rsid w:val="21DF478F"/>
    <w:rsid w:val="21FC3824"/>
    <w:rsid w:val="221B014E"/>
    <w:rsid w:val="227B6A4F"/>
    <w:rsid w:val="22852193"/>
    <w:rsid w:val="229E48DB"/>
    <w:rsid w:val="22A16179"/>
    <w:rsid w:val="22AF0896"/>
    <w:rsid w:val="22DC043E"/>
    <w:rsid w:val="232022DC"/>
    <w:rsid w:val="23405992"/>
    <w:rsid w:val="238A7D89"/>
    <w:rsid w:val="244D480A"/>
    <w:rsid w:val="24763D61"/>
    <w:rsid w:val="249E5066"/>
    <w:rsid w:val="24F9229C"/>
    <w:rsid w:val="25357778"/>
    <w:rsid w:val="253634F0"/>
    <w:rsid w:val="26121868"/>
    <w:rsid w:val="26774DD5"/>
    <w:rsid w:val="26955FF5"/>
    <w:rsid w:val="26A90CE9"/>
    <w:rsid w:val="26FC4880"/>
    <w:rsid w:val="270311B0"/>
    <w:rsid w:val="272D7385"/>
    <w:rsid w:val="274C06B8"/>
    <w:rsid w:val="288D3427"/>
    <w:rsid w:val="289D146A"/>
    <w:rsid w:val="28AF7842"/>
    <w:rsid w:val="29192F0D"/>
    <w:rsid w:val="294B5A19"/>
    <w:rsid w:val="299E5D25"/>
    <w:rsid w:val="29E60221"/>
    <w:rsid w:val="2A0E16D8"/>
    <w:rsid w:val="2A636B36"/>
    <w:rsid w:val="2B2D0EF2"/>
    <w:rsid w:val="2B471FB3"/>
    <w:rsid w:val="2B7E3031"/>
    <w:rsid w:val="2BF835D4"/>
    <w:rsid w:val="2C0D0BE9"/>
    <w:rsid w:val="2C165F57"/>
    <w:rsid w:val="2C174AC1"/>
    <w:rsid w:val="2C1C6BD5"/>
    <w:rsid w:val="2C4C6682"/>
    <w:rsid w:val="2C892EEA"/>
    <w:rsid w:val="2C9615DD"/>
    <w:rsid w:val="2CF47F19"/>
    <w:rsid w:val="2D713318"/>
    <w:rsid w:val="2DD24B27"/>
    <w:rsid w:val="2E166719"/>
    <w:rsid w:val="2E3B3926"/>
    <w:rsid w:val="2F397E65"/>
    <w:rsid w:val="2F3E2B8A"/>
    <w:rsid w:val="2F4D2C62"/>
    <w:rsid w:val="2F4F2B7A"/>
    <w:rsid w:val="2F6A2714"/>
    <w:rsid w:val="2F6F1AD9"/>
    <w:rsid w:val="2FB4573E"/>
    <w:rsid w:val="2FB971F8"/>
    <w:rsid w:val="2FCA4F61"/>
    <w:rsid w:val="300E30A0"/>
    <w:rsid w:val="30192A4B"/>
    <w:rsid w:val="3034687E"/>
    <w:rsid w:val="308B46F0"/>
    <w:rsid w:val="30A13F14"/>
    <w:rsid w:val="3105576A"/>
    <w:rsid w:val="31322DBE"/>
    <w:rsid w:val="3149291E"/>
    <w:rsid w:val="31AD68E8"/>
    <w:rsid w:val="323446FA"/>
    <w:rsid w:val="323D6058"/>
    <w:rsid w:val="326B55D2"/>
    <w:rsid w:val="327A2F2F"/>
    <w:rsid w:val="33065842"/>
    <w:rsid w:val="333A23FE"/>
    <w:rsid w:val="339B430D"/>
    <w:rsid w:val="33B51A84"/>
    <w:rsid w:val="33D939C5"/>
    <w:rsid w:val="33DE2D76"/>
    <w:rsid w:val="34254652"/>
    <w:rsid w:val="34A02A78"/>
    <w:rsid w:val="34A43FD3"/>
    <w:rsid w:val="35131158"/>
    <w:rsid w:val="355377A7"/>
    <w:rsid w:val="357C4E30"/>
    <w:rsid w:val="35E5121D"/>
    <w:rsid w:val="36835E6A"/>
    <w:rsid w:val="36900240"/>
    <w:rsid w:val="36DB305A"/>
    <w:rsid w:val="37CE1367"/>
    <w:rsid w:val="384B732D"/>
    <w:rsid w:val="38DA49DE"/>
    <w:rsid w:val="39526984"/>
    <w:rsid w:val="39814B8D"/>
    <w:rsid w:val="39CB68E8"/>
    <w:rsid w:val="39EE7A9E"/>
    <w:rsid w:val="3A231E3E"/>
    <w:rsid w:val="3A296D28"/>
    <w:rsid w:val="3A2D2B65"/>
    <w:rsid w:val="3A8A3C6B"/>
    <w:rsid w:val="3AD02C42"/>
    <w:rsid w:val="3B4D4A87"/>
    <w:rsid w:val="3BB16FD5"/>
    <w:rsid w:val="3C187054"/>
    <w:rsid w:val="3C3814A4"/>
    <w:rsid w:val="3C425EDD"/>
    <w:rsid w:val="3C4340D1"/>
    <w:rsid w:val="3C814BF9"/>
    <w:rsid w:val="3C97266F"/>
    <w:rsid w:val="3C9E39FD"/>
    <w:rsid w:val="3D5B0BE0"/>
    <w:rsid w:val="3D621A4F"/>
    <w:rsid w:val="3D762284"/>
    <w:rsid w:val="3D7D3613"/>
    <w:rsid w:val="3DC47494"/>
    <w:rsid w:val="3DE752AE"/>
    <w:rsid w:val="3E1A15B3"/>
    <w:rsid w:val="3E1F0B6E"/>
    <w:rsid w:val="3E9D5996"/>
    <w:rsid w:val="3EC15691"/>
    <w:rsid w:val="3EC60FE9"/>
    <w:rsid w:val="3EE202A5"/>
    <w:rsid w:val="3EF773F5"/>
    <w:rsid w:val="3F406FEE"/>
    <w:rsid w:val="3F5B3E28"/>
    <w:rsid w:val="3FA330D9"/>
    <w:rsid w:val="3FC03C8B"/>
    <w:rsid w:val="402814CD"/>
    <w:rsid w:val="40324B88"/>
    <w:rsid w:val="40AF0F9E"/>
    <w:rsid w:val="40CB294D"/>
    <w:rsid w:val="40D21EC7"/>
    <w:rsid w:val="41E31627"/>
    <w:rsid w:val="42037BBB"/>
    <w:rsid w:val="426A6668"/>
    <w:rsid w:val="42B71375"/>
    <w:rsid w:val="42CB6BCE"/>
    <w:rsid w:val="431B5DA8"/>
    <w:rsid w:val="4344225B"/>
    <w:rsid w:val="43AD4526"/>
    <w:rsid w:val="44490FAD"/>
    <w:rsid w:val="44524390"/>
    <w:rsid w:val="447C0AC8"/>
    <w:rsid w:val="449F0313"/>
    <w:rsid w:val="44FA7C3F"/>
    <w:rsid w:val="453E7B2C"/>
    <w:rsid w:val="45A32084"/>
    <w:rsid w:val="45CF4C28"/>
    <w:rsid w:val="46706431"/>
    <w:rsid w:val="46B54E47"/>
    <w:rsid w:val="46F04E55"/>
    <w:rsid w:val="47060B1D"/>
    <w:rsid w:val="47431D2C"/>
    <w:rsid w:val="475A5DAA"/>
    <w:rsid w:val="47906638"/>
    <w:rsid w:val="48641E62"/>
    <w:rsid w:val="48C26CC5"/>
    <w:rsid w:val="48D72771"/>
    <w:rsid w:val="48E42798"/>
    <w:rsid w:val="49153758"/>
    <w:rsid w:val="492E6109"/>
    <w:rsid w:val="4950607F"/>
    <w:rsid w:val="49A50E41"/>
    <w:rsid w:val="49CF6453"/>
    <w:rsid w:val="49D547D7"/>
    <w:rsid w:val="49E6598A"/>
    <w:rsid w:val="4A314103"/>
    <w:rsid w:val="4A4C2CEB"/>
    <w:rsid w:val="4AEF36DF"/>
    <w:rsid w:val="4B4C1FFC"/>
    <w:rsid w:val="4BFA22D2"/>
    <w:rsid w:val="4C0A64A7"/>
    <w:rsid w:val="4C567E51"/>
    <w:rsid w:val="4CA706AC"/>
    <w:rsid w:val="4CD27075"/>
    <w:rsid w:val="4D043409"/>
    <w:rsid w:val="4D75644C"/>
    <w:rsid w:val="4DB85CFE"/>
    <w:rsid w:val="4E7126C8"/>
    <w:rsid w:val="4EAE70EE"/>
    <w:rsid w:val="4EE03A01"/>
    <w:rsid w:val="4F46459E"/>
    <w:rsid w:val="4F552641"/>
    <w:rsid w:val="4FAB72B3"/>
    <w:rsid w:val="4FF77255"/>
    <w:rsid w:val="500B71A4"/>
    <w:rsid w:val="50461F8A"/>
    <w:rsid w:val="50851BD0"/>
    <w:rsid w:val="509D1641"/>
    <w:rsid w:val="50AA310B"/>
    <w:rsid w:val="50B43398"/>
    <w:rsid w:val="510E366A"/>
    <w:rsid w:val="511D2CEB"/>
    <w:rsid w:val="51304F75"/>
    <w:rsid w:val="51790889"/>
    <w:rsid w:val="51AB6549"/>
    <w:rsid w:val="51B779E9"/>
    <w:rsid w:val="51C21AE4"/>
    <w:rsid w:val="52431082"/>
    <w:rsid w:val="526861E8"/>
    <w:rsid w:val="52D4693B"/>
    <w:rsid w:val="52DA23B9"/>
    <w:rsid w:val="52DA5546"/>
    <w:rsid w:val="531844FA"/>
    <w:rsid w:val="53220528"/>
    <w:rsid w:val="53282E3C"/>
    <w:rsid w:val="53A05E55"/>
    <w:rsid w:val="53F5423D"/>
    <w:rsid w:val="54153EF4"/>
    <w:rsid w:val="5463310B"/>
    <w:rsid w:val="548A4B3B"/>
    <w:rsid w:val="550146D2"/>
    <w:rsid w:val="55944F63"/>
    <w:rsid w:val="55993CE7"/>
    <w:rsid w:val="55AD3E1F"/>
    <w:rsid w:val="564D5B0B"/>
    <w:rsid w:val="56555F48"/>
    <w:rsid w:val="565921EF"/>
    <w:rsid w:val="56B91708"/>
    <w:rsid w:val="56C8194B"/>
    <w:rsid w:val="56FE06BA"/>
    <w:rsid w:val="571E5A0F"/>
    <w:rsid w:val="572F6AE4"/>
    <w:rsid w:val="57672F12"/>
    <w:rsid w:val="57835872"/>
    <w:rsid w:val="57872FC9"/>
    <w:rsid w:val="57BE4AFC"/>
    <w:rsid w:val="57EF54EF"/>
    <w:rsid w:val="583D3C73"/>
    <w:rsid w:val="585273CC"/>
    <w:rsid w:val="58670CF0"/>
    <w:rsid w:val="586B389D"/>
    <w:rsid w:val="58C42440"/>
    <w:rsid w:val="58F06F37"/>
    <w:rsid w:val="59822285"/>
    <w:rsid w:val="598F49A2"/>
    <w:rsid w:val="59A93DB0"/>
    <w:rsid w:val="59B9557B"/>
    <w:rsid w:val="5A0E3B19"/>
    <w:rsid w:val="5A132A96"/>
    <w:rsid w:val="5A4A0C65"/>
    <w:rsid w:val="5A7D0E64"/>
    <w:rsid w:val="5A867B53"/>
    <w:rsid w:val="5AF32D0E"/>
    <w:rsid w:val="5B2353A2"/>
    <w:rsid w:val="5B3D6DAC"/>
    <w:rsid w:val="5B5621FF"/>
    <w:rsid w:val="5B6D486F"/>
    <w:rsid w:val="5B81656C"/>
    <w:rsid w:val="5B8D3163"/>
    <w:rsid w:val="5B9C6F02"/>
    <w:rsid w:val="5BED59B0"/>
    <w:rsid w:val="5C3936CD"/>
    <w:rsid w:val="5E1A33AD"/>
    <w:rsid w:val="5E614550"/>
    <w:rsid w:val="5F1D2B10"/>
    <w:rsid w:val="5F221E14"/>
    <w:rsid w:val="5F3062DF"/>
    <w:rsid w:val="5FAC4D91"/>
    <w:rsid w:val="5FCB1CCA"/>
    <w:rsid w:val="60A35596"/>
    <w:rsid w:val="60C90799"/>
    <w:rsid w:val="60F33A68"/>
    <w:rsid w:val="6121148B"/>
    <w:rsid w:val="618B5A4F"/>
    <w:rsid w:val="61B054B5"/>
    <w:rsid w:val="61C3343B"/>
    <w:rsid w:val="61E63FE6"/>
    <w:rsid w:val="621A5025"/>
    <w:rsid w:val="625E7005"/>
    <w:rsid w:val="625F6E7B"/>
    <w:rsid w:val="62A25746"/>
    <w:rsid w:val="634475E8"/>
    <w:rsid w:val="6351346A"/>
    <w:rsid w:val="63604CB9"/>
    <w:rsid w:val="63F44DC1"/>
    <w:rsid w:val="64065861"/>
    <w:rsid w:val="6456748E"/>
    <w:rsid w:val="645E569D"/>
    <w:rsid w:val="6477382F"/>
    <w:rsid w:val="647E5D3F"/>
    <w:rsid w:val="648D1ADE"/>
    <w:rsid w:val="648D3EDA"/>
    <w:rsid w:val="649966D5"/>
    <w:rsid w:val="64A5151D"/>
    <w:rsid w:val="64F8164D"/>
    <w:rsid w:val="657B5DDA"/>
    <w:rsid w:val="65C15EE3"/>
    <w:rsid w:val="65C82FBC"/>
    <w:rsid w:val="65C92FEA"/>
    <w:rsid w:val="66134265"/>
    <w:rsid w:val="662D3C48"/>
    <w:rsid w:val="66573A13"/>
    <w:rsid w:val="66703465"/>
    <w:rsid w:val="67530DBD"/>
    <w:rsid w:val="67B32716"/>
    <w:rsid w:val="680D3662"/>
    <w:rsid w:val="698356F2"/>
    <w:rsid w:val="69CC4E56"/>
    <w:rsid w:val="6A6B28C1"/>
    <w:rsid w:val="6A7C062B"/>
    <w:rsid w:val="6AA03440"/>
    <w:rsid w:val="6AC678B1"/>
    <w:rsid w:val="6B4D6B08"/>
    <w:rsid w:val="6BCD1F3A"/>
    <w:rsid w:val="6BE75F78"/>
    <w:rsid w:val="6C2B15C3"/>
    <w:rsid w:val="6C6B7EC9"/>
    <w:rsid w:val="6CD543A6"/>
    <w:rsid w:val="6D3C60B0"/>
    <w:rsid w:val="6D6F26C8"/>
    <w:rsid w:val="6D8048D6"/>
    <w:rsid w:val="6DC031D7"/>
    <w:rsid w:val="6E0031F1"/>
    <w:rsid w:val="6E162B44"/>
    <w:rsid w:val="6E427DDD"/>
    <w:rsid w:val="6EB32A89"/>
    <w:rsid w:val="6F4E654D"/>
    <w:rsid w:val="6F84260A"/>
    <w:rsid w:val="6FC00FB9"/>
    <w:rsid w:val="6FE31582"/>
    <w:rsid w:val="6FFD220E"/>
    <w:rsid w:val="70015B38"/>
    <w:rsid w:val="700E4155"/>
    <w:rsid w:val="701B2694"/>
    <w:rsid w:val="70A73F27"/>
    <w:rsid w:val="70A95EF1"/>
    <w:rsid w:val="70B37514"/>
    <w:rsid w:val="710D537E"/>
    <w:rsid w:val="714479C8"/>
    <w:rsid w:val="71733335"/>
    <w:rsid w:val="72774FBF"/>
    <w:rsid w:val="72C83F3E"/>
    <w:rsid w:val="72F71196"/>
    <w:rsid w:val="745E6304"/>
    <w:rsid w:val="748F05AA"/>
    <w:rsid w:val="7496678D"/>
    <w:rsid w:val="749B0247"/>
    <w:rsid w:val="75001F50"/>
    <w:rsid w:val="757E794D"/>
    <w:rsid w:val="75AC204A"/>
    <w:rsid w:val="76E01F41"/>
    <w:rsid w:val="771309B0"/>
    <w:rsid w:val="771E6C8B"/>
    <w:rsid w:val="779C230C"/>
    <w:rsid w:val="77B952B9"/>
    <w:rsid w:val="77CE6431"/>
    <w:rsid w:val="77FE33CF"/>
    <w:rsid w:val="78276D39"/>
    <w:rsid w:val="78801C2E"/>
    <w:rsid w:val="78852DA0"/>
    <w:rsid w:val="78CD4747"/>
    <w:rsid w:val="79B871A5"/>
    <w:rsid w:val="79B930F3"/>
    <w:rsid w:val="79C12753"/>
    <w:rsid w:val="7A022808"/>
    <w:rsid w:val="7A815801"/>
    <w:rsid w:val="7AD95625"/>
    <w:rsid w:val="7C1E487D"/>
    <w:rsid w:val="7C731702"/>
    <w:rsid w:val="7CC06A9D"/>
    <w:rsid w:val="7CF15EFA"/>
    <w:rsid w:val="7D3F338A"/>
    <w:rsid w:val="7D605B8A"/>
    <w:rsid w:val="7DBB6445"/>
    <w:rsid w:val="7E0C1993"/>
    <w:rsid w:val="7E9B1E05"/>
    <w:rsid w:val="7EC4740D"/>
    <w:rsid w:val="7F1627AB"/>
    <w:rsid w:val="7F6D52AE"/>
    <w:rsid w:val="7F8A3392"/>
    <w:rsid w:val="7F9E2999"/>
    <w:rsid w:val="7FF5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方正小标宋_GBK" w:eastAsia="方正小标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Body Text"/>
    <w:basedOn w:val="1"/>
    <w:next w:val="1"/>
    <w:qFormat/>
    <w:uiPriority w:val="0"/>
    <w:pPr>
      <w:widowControl/>
      <w:adjustRightInd w:val="0"/>
      <w:snapToGrid w:val="0"/>
      <w:spacing w:line="360" w:lineRule="auto"/>
    </w:pPr>
    <w:rPr>
      <w:rFonts w:ascii="仿宋_GB2312" w:hAnsi="宋体" w:eastAsia="仿宋_GB2312"/>
      <w:kern w:val="0"/>
      <w:sz w:val="28"/>
    </w:rPr>
  </w:style>
  <w:style w:type="paragraph" w:styleId="6">
    <w:name w:val="Body Text Indent"/>
    <w:basedOn w:val="1"/>
    <w:link w:val="26"/>
    <w:qFormat/>
    <w:uiPriority w:val="0"/>
    <w:pPr>
      <w:ind w:firstLine="560" w:firstLineChars="200"/>
      <w:jc w:val="left"/>
    </w:pPr>
    <w:rPr>
      <w:sz w:val="28"/>
    </w:rPr>
  </w:style>
  <w:style w:type="paragraph" w:styleId="7">
    <w:name w:val="Plain Text"/>
    <w:basedOn w:val="1"/>
    <w:qFormat/>
    <w:uiPriority w:val="0"/>
    <w:rPr>
      <w:rFonts w:ascii="宋体" w:hAnsi="Courier New" w:cs="Courier New"/>
      <w:szCs w:val="21"/>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3"/>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unhideWhenUsed/>
    <w:qFormat/>
    <w:uiPriority w:val="99"/>
    <w:pPr>
      <w:widowControl/>
      <w:spacing w:after="120"/>
      <w:ind w:firstLine="100" w:firstLineChars="100"/>
    </w:pPr>
    <w:rPr>
      <w:rFonts w:ascii="Calibri" w:hAnsi="Calibri"/>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unhideWhenUsed/>
    <w:qFormat/>
    <w:uiPriority w:val="99"/>
    <w:rPr>
      <w:color w:val="0000FF"/>
      <w:u w:val="single"/>
    </w:rPr>
  </w:style>
  <w:style w:type="character" w:customStyle="1" w:styleId="20">
    <w:name w:val="页眉 Char"/>
    <w:basedOn w:val="16"/>
    <w:link w:val="11"/>
    <w:qFormat/>
    <w:uiPriority w:val="99"/>
    <w:rPr>
      <w:rFonts w:ascii="Times New Roman" w:hAnsi="Times New Roman" w:eastAsia="宋体" w:cs="Times New Roman"/>
      <w:sz w:val="18"/>
      <w:szCs w:val="18"/>
    </w:rPr>
  </w:style>
  <w:style w:type="character" w:customStyle="1" w:styleId="21">
    <w:name w:val="页脚 Char"/>
    <w:basedOn w:val="16"/>
    <w:link w:val="10"/>
    <w:qFormat/>
    <w:uiPriority w:val="99"/>
    <w:rPr>
      <w:rFonts w:ascii="Times New Roman" w:hAnsi="Times New Roman" w:eastAsia="宋体" w:cs="Times New Roman"/>
      <w:sz w:val="18"/>
      <w:szCs w:val="18"/>
    </w:rPr>
  </w:style>
  <w:style w:type="character" w:customStyle="1" w:styleId="22">
    <w:name w:val="日期 Char"/>
    <w:basedOn w:val="16"/>
    <w:link w:val="8"/>
    <w:semiHidden/>
    <w:qFormat/>
    <w:uiPriority w:val="99"/>
    <w:rPr>
      <w:rFonts w:ascii="Times New Roman" w:hAnsi="Times New Roman" w:eastAsia="宋体" w:cs="Times New Roman"/>
      <w:szCs w:val="24"/>
    </w:rPr>
  </w:style>
  <w:style w:type="character" w:customStyle="1" w:styleId="23">
    <w:name w:val="批注框文本 Char"/>
    <w:basedOn w:val="16"/>
    <w:link w:val="9"/>
    <w:semiHidden/>
    <w:qFormat/>
    <w:uiPriority w:val="99"/>
    <w:rPr>
      <w:rFonts w:ascii="Times New Roman" w:hAnsi="Times New Roman"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标题 2 Char"/>
    <w:basedOn w:val="16"/>
    <w:link w:val="3"/>
    <w:qFormat/>
    <w:uiPriority w:val="0"/>
    <w:rPr>
      <w:rFonts w:ascii="Arial" w:hAnsi="Arial" w:eastAsia="黑体" w:cs="Times New Roman"/>
      <w:b/>
      <w:bCs/>
      <w:sz w:val="32"/>
      <w:szCs w:val="32"/>
    </w:rPr>
  </w:style>
  <w:style w:type="character" w:customStyle="1" w:styleId="26">
    <w:name w:val="正文文本缩进 Char"/>
    <w:basedOn w:val="16"/>
    <w:link w:val="6"/>
    <w:qFormat/>
    <w:uiPriority w:val="0"/>
    <w:rPr>
      <w:rFonts w:ascii="Times New Roman" w:hAnsi="Times New Roman" w:eastAsia="宋体" w:cs="Times New Roman"/>
      <w:sz w:val="28"/>
      <w:szCs w:val="24"/>
    </w:rPr>
  </w:style>
  <w:style w:type="character" w:customStyle="1" w:styleId="27">
    <w:name w:val="NormalCharacter"/>
    <w:semiHidden/>
    <w:qFormat/>
    <w:uiPriority w:val="0"/>
    <w:rPr>
      <w:kern w:val="2"/>
      <w:sz w:val="21"/>
      <w:lang w:val="en-US" w:eastAsia="zh-CN" w:bidi="ar-SA"/>
    </w:rPr>
  </w:style>
  <w:style w:type="paragraph" w:customStyle="1" w:styleId="28">
    <w:name w:val="Normal (Web)"/>
    <w:basedOn w:val="1"/>
    <w:qFormat/>
    <w:uiPriority w:val="0"/>
    <w:pPr>
      <w:widowControl/>
      <w:spacing w:before="100" w:beforeLines="0" w:beforeAutospacing="1" w:after="100" w:afterLines="0" w:afterAutospacing="1" w:line="240" w:lineRule="auto"/>
      <w:jc w:val="left"/>
    </w:pPr>
    <w:rPr>
      <w:rFonts w:ascii="仿宋" w:hAnsi="仿宋" w:eastAsia="宋体" w:cs="宋体"/>
      <w:kern w:val="0"/>
      <w:sz w:val="32"/>
      <w:szCs w:val="32"/>
    </w:rPr>
  </w:style>
  <w:style w:type="paragraph" w:customStyle="1" w:styleId="29">
    <w:name w:val="Heading #1|1"/>
    <w:basedOn w:val="1"/>
    <w:qFormat/>
    <w:uiPriority w:val="0"/>
    <w:pPr>
      <w:widowControl w:val="0"/>
      <w:shd w:val="clear" w:color="auto" w:fill="auto"/>
      <w:spacing w:after="540"/>
      <w:jc w:val="center"/>
      <w:outlineLvl w:val="0"/>
    </w:pPr>
    <w:rPr>
      <w:rFonts w:ascii="宋体" w:hAnsi="宋体" w:eastAsia="宋体" w:cs="宋体"/>
      <w:sz w:val="38"/>
      <w:szCs w:val="38"/>
      <w:u w:val="none"/>
      <w:shd w:val="clear" w:color="auto" w:fill="auto"/>
      <w:lang w:val="zh-TW" w:eastAsia="zh-TW" w:bidi="zh-TW"/>
    </w:rPr>
  </w:style>
  <w:style w:type="paragraph" w:customStyle="1" w:styleId="30">
    <w:name w:val="Body text|2"/>
    <w:basedOn w:val="1"/>
    <w:qFormat/>
    <w:uiPriority w:val="0"/>
    <w:pPr>
      <w:widowControl w:val="0"/>
      <w:shd w:val="clear" w:color="auto" w:fill="auto"/>
      <w:spacing w:after="70"/>
    </w:pPr>
    <w:rPr>
      <w:rFonts w:ascii="宋体" w:hAnsi="宋体" w:eastAsia="宋体" w:cs="宋体"/>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396"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1"/>
    <w:basedOn w:val="1"/>
    <w:qFormat/>
    <w:uiPriority w:val="0"/>
    <w:pPr>
      <w:spacing w:line="396" w:lineRule="auto"/>
      <w:ind w:firstLine="400"/>
      <w:jc w:val="left"/>
    </w:pPr>
    <w:rPr>
      <w:rFonts w:ascii="宋体" w:hAnsi="宋体" w:cs="宋体"/>
      <w:color w:val="000000"/>
      <w:kern w:val="0"/>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C2EE4-A032-4CD1-A20C-C6815B4B3D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6513</Words>
  <Characters>6626</Characters>
  <Lines>13</Lines>
  <Paragraphs>3</Paragraphs>
  <TotalTime>6</TotalTime>
  <ScaleCrop>false</ScaleCrop>
  <LinksUpToDate>false</LinksUpToDate>
  <CharactersWithSpaces>6727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2021-03-29T07:03:00Z</dcterms:created>
  <dc:creator>Administrator</dc:creator>
  <cp:lastModifiedBy>Administrator</cp:lastModifiedBy>
  <cp:lastPrinted>2023-07-21T07:57:00Z</cp:lastPrinted>
  <dcterms:modified xsi:type="dcterms:W3CDTF">2023-07-21T08:09:18Z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CD4B58EBEA774E149AE1F13EEC5C583D_13</vt:lpwstr>
  </property>
</Properties>
</file>