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240" w:lineRule="exact"/>
        <w:jc w:val="center"/>
        <w:rPr>
          <w:rFonts w:ascii="黑体" w:eastAsia="黑体"/>
          <w:b/>
          <w:sz w:val="32"/>
        </w:rPr>
      </w:pPr>
    </w:p>
    <w:p>
      <w:pPr>
        <w:adjustRightInd w:val="0"/>
        <w:snapToGrid w:val="0"/>
        <w:spacing w:line="560" w:lineRule="exact"/>
        <w:jc w:val="center"/>
        <w:rPr>
          <w:rFonts w:ascii="楷体" w:hAnsi="楷体" w:eastAsia="楷体"/>
          <w:bCs/>
          <w:sz w:val="32"/>
        </w:rPr>
      </w:pPr>
    </w:p>
    <w:p>
      <w:pPr>
        <w:adjustRightInd w:val="0"/>
        <w:snapToGrid w:val="0"/>
        <w:spacing w:line="560" w:lineRule="exact"/>
        <w:jc w:val="center"/>
        <w:rPr>
          <w:rFonts w:ascii="楷体" w:hAnsi="楷体" w:eastAsia="楷体"/>
          <w:bCs/>
          <w:sz w:val="32"/>
        </w:rPr>
      </w:pPr>
    </w:p>
    <w:p>
      <w:pPr>
        <w:adjustRightInd w:val="0"/>
        <w:snapToGrid w:val="0"/>
        <w:spacing w:line="700" w:lineRule="exact"/>
        <w:jc w:val="center"/>
        <w:rPr>
          <w:rFonts w:ascii="楷体" w:hAnsi="楷体" w:eastAsia="楷体"/>
          <w:bCs/>
          <w:sz w:val="32"/>
        </w:rPr>
      </w:pPr>
    </w:p>
    <w:p>
      <w:pPr>
        <w:adjustRightInd w:val="0"/>
        <w:snapToGrid w:val="0"/>
        <w:spacing w:line="560" w:lineRule="exact"/>
        <w:jc w:val="center"/>
        <w:rPr>
          <w:rFonts w:ascii="仿宋" w:hAnsi="仿宋" w:eastAsia="仿宋" w:cs="仿宋"/>
          <w:bCs/>
          <w:sz w:val="32"/>
        </w:rPr>
      </w:pPr>
      <w:r>
        <w:rPr>
          <w:rFonts w:hint="eastAsia" w:ascii="仿宋" w:hAnsi="仿宋" w:eastAsia="仿宋" w:cs="仿宋"/>
          <w:bCs/>
          <w:sz w:val="32"/>
        </w:rPr>
        <w:t>宁警院发〔202</w:t>
      </w:r>
      <w:r>
        <w:rPr>
          <w:rFonts w:ascii="仿宋" w:hAnsi="仿宋" w:eastAsia="仿宋" w:cs="仿宋"/>
          <w:bCs/>
          <w:sz w:val="32"/>
        </w:rPr>
        <w:t>1</w:t>
      </w:r>
      <w:r>
        <w:rPr>
          <w:rFonts w:hint="eastAsia" w:ascii="仿宋" w:hAnsi="仿宋" w:eastAsia="仿宋" w:cs="仿宋"/>
          <w:bCs/>
          <w:sz w:val="32"/>
        </w:rPr>
        <w:t>〕</w:t>
      </w:r>
      <w:r>
        <w:rPr>
          <w:rFonts w:ascii="仿宋" w:hAnsi="仿宋" w:eastAsia="仿宋" w:cs="仿宋"/>
          <w:bCs/>
          <w:sz w:val="32"/>
        </w:rPr>
        <w:t>48</w:t>
      </w:r>
      <w:r>
        <w:rPr>
          <w:rFonts w:hint="eastAsia" w:ascii="仿宋" w:hAnsi="仿宋" w:eastAsia="仿宋" w:cs="仿宋"/>
          <w:bCs/>
          <w:sz w:val="32"/>
        </w:rPr>
        <w:t>号</w:t>
      </w:r>
    </w:p>
    <w:p>
      <w:pPr>
        <w:spacing w:line="240" w:lineRule="exact"/>
        <w:jc w:val="center"/>
        <w:rPr>
          <w:rFonts w:ascii="宋体" w:hAnsi="宋体" w:cs="宋体"/>
          <w:b/>
          <w:bCs/>
          <w:sz w:val="32"/>
          <w:szCs w:val="32"/>
        </w:rPr>
      </w:pPr>
    </w:p>
    <w:p>
      <w:pPr>
        <w:spacing w:line="240" w:lineRule="exact"/>
        <w:jc w:val="center"/>
        <w:rPr>
          <w:rFonts w:ascii="宋体" w:hAnsi="宋体"/>
          <w:b/>
          <w:bCs/>
          <w:sz w:val="36"/>
          <w:szCs w:val="36"/>
        </w:rPr>
      </w:pPr>
    </w:p>
    <w:p>
      <w:pPr>
        <w:pStyle w:val="11"/>
        <w:tabs>
          <w:tab w:val="left" w:pos="840"/>
          <w:tab w:val="center" w:pos="5040"/>
        </w:tabs>
        <w:spacing w:line="240" w:lineRule="exact"/>
        <w:rPr>
          <w:rFonts w:ascii="楷体_GB2312" w:eastAsia="楷体_GB2312"/>
          <w:b/>
          <w:color w:val="000000"/>
          <w:sz w:val="36"/>
          <w:szCs w:val="36"/>
        </w:rPr>
      </w:pPr>
    </w:p>
    <w:p>
      <w:pPr>
        <w:pStyle w:val="11"/>
        <w:shd w:val="clear" w:color="auto" w:fill="FFFFFF"/>
        <w:spacing w:line="620" w:lineRule="exact"/>
        <w:jc w:val="center"/>
        <w:rPr>
          <w:rFonts w:ascii="方正小标宋简体" w:hAnsi="仿宋" w:eastAsia="方正小标宋简体" w:cs="仿宋"/>
          <w:b/>
          <w:bCs/>
          <w:color w:val="000000"/>
          <w:sz w:val="44"/>
          <w:szCs w:val="44"/>
          <w:shd w:val="clear" w:color="auto" w:fill="FFFFFF"/>
        </w:rPr>
      </w:pPr>
      <w:r>
        <w:rPr>
          <w:rFonts w:hint="eastAsia" w:ascii="方正小标宋简体" w:hAnsi="黑体" w:eastAsia="方正小标宋简体" w:cs="黑体"/>
          <w:b/>
          <w:sz w:val="44"/>
          <w:szCs w:val="44"/>
        </w:rPr>
        <w:t>关于印发《</w:t>
      </w:r>
      <w:r>
        <w:rPr>
          <w:rFonts w:hint="eastAsia" w:ascii="方正小标宋简体" w:hAnsi="仿宋" w:eastAsia="方正小标宋简体" w:cs="仿宋"/>
          <w:b/>
          <w:bCs/>
          <w:color w:val="000000"/>
          <w:sz w:val="44"/>
          <w:szCs w:val="44"/>
          <w:shd w:val="clear" w:color="auto" w:fill="FFFFFF"/>
        </w:rPr>
        <w:t>宁夏警官职业学院学生学业</w:t>
      </w:r>
    </w:p>
    <w:p>
      <w:pPr>
        <w:pStyle w:val="11"/>
        <w:shd w:val="clear" w:color="auto" w:fill="FFFFFF"/>
        <w:spacing w:line="620" w:lineRule="exact"/>
        <w:jc w:val="center"/>
        <w:rPr>
          <w:rFonts w:ascii="方正小标宋简体" w:hAnsi="仿宋" w:eastAsia="方正小标宋简体" w:cs="仿宋"/>
          <w:b/>
          <w:bCs/>
          <w:color w:val="000000"/>
          <w:sz w:val="44"/>
          <w:szCs w:val="44"/>
          <w:shd w:val="clear" w:color="auto" w:fill="FFFFFF"/>
        </w:rPr>
      </w:pPr>
      <w:r>
        <w:rPr>
          <w:rFonts w:hint="eastAsia" w:ascii="方正小标宋简体" w:hAnsi="仿宋" w:eastAsia="方正小标宋简体" w:cs="仿宋"/>
          <w:b/>
          <w:bCs/>
          <w:color w:val="000000"/>
          <w:sz w:val="44"/>
          <w:szCs w:val="44"/>
          <w:shd w:val="clear" w:color="auto" w:fill="FFFFFF"/>
        </w:rPr>
        <w:t>预警制度（试行）</w:t>
      </w:r>
      <w:r>
        <w:rPr>
          <w:rFonts w:hint="eastAsia" w:ascii="方正小标宋简体" w:hAnsi="黑体" w:eastAsia="方正小标宋简体" w:cs="黑体"/>
          <w:b/>
          <w:sz w:val="44"/>
          <w:szCs w:val="44"/>
        </w:rPr>
        <w:t>》的通知</w:t>
      </w: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各处室、系部：</w:t>
      </w:r>
    </w:p>
    <w:p>
      <w:pPr>
        <w:ind w:firstLine="640" w:firstLineChars="200"/>
        <w:rPr>
          <w:rFonts w:ascii="仿宋" w:hAnsi="仿宋" w:eastAsia="仿宋" w:cs="仿宋"/>
          <w:bCs/>
          <w:sz w:val="32"/>
          <w:szCs w:val="32"/>
        </w:rPr>
      </w:pPr>
      <w:r>
        <w:rPr>
          <w:rFonts w:hint="eastAsia" w:ascii="仿宋" w:hAnsi="仿宋" w:eastAsia="仿宋" w:cs="仿宋"/>
          <w:sz w:val="32"/>
          <w:szCs w:val="32"/>
        </w:rPr>
        <w:t>现将《</w:t>
      </w:r>
      <w:r>
        <w:rPr>
          <w:rFonts w:hint="eastAsia" w:ascii="仿宋" w:hAnsi="仿宋" w:eastAsia="仿宋" w:cs="仿宋"/>
          <w:bCs/>
          <w:sz w:val="32"/>
          <w:szCs w:val="32"/>
        </w:rPr>
        <w:t>宁夏警官职业学院学生学业预警制度（试行）</w:t>
      </w:r>
      <w:r>
        <w:rPr>
          <w:rFonts w:hint="eastAsia" w:ascii="仿宋" w:hAnsi="仿宋" w:eastAsia="仿宋" w:cs="仿宋"/>
          <w:sz w:val="32"/>
          <w:szCs w:val="32"/>
        </w:rPr>
        <w:t>》印发给你们，请遵照执行。</w:t>
      </w:r>
    </w:p>
    <w:p>
      <w:pPr>
        <w:rPr>
          <w:rFonts w:ascii="仿宋" w:hAnsi="仿宋" w:eastAsia="仿宋" w:cs="仿宋"/>
          <w:sz w:val="32"/>
          <w:szCs w:val="32"/>
        </w:rPr>
      </w:pPr>
    </w:p>
    <w:p>
      <w:pPr>
        <w:snapToGrid w:val="0"/>
        <w:spacing w:line="500" w:lineRule="exact"/>
        <w:ind w:firstLine="696" w:firstLineChars="200"/>
        <w:rPr>
          <w:rFonts w:ascii="仿宋" w:hAnsi="仿宋" w:eastAsia="仿宋"/>
          <w:sz w:val="32"/>
          <w:szCs w:val="32"/>
        </w:rPr>
      </w:pPr>
      <w:r>
        <w:rPr>
          <w:rFonts w:hint="eastAsia" w:ascii="仿宋" w:hAnsi="仿宋" w:eastAsia="仿宋" w:cs="宋体"/>
          <w:color w:val="000000"/>
          <w:spacing w:val="14"/>
          <w:kern w:val="0"/>
          <w:sz w:val="32"/>
          <w:szCs w:val="32"/>
        </w:rPr>
        <w:t xml:space="preserve">                          </w:t>
      </w:r>
    </w:p>
    <w:p>
      <w:pPr>
        <w:spacing w:line="520" w:lineRule="exact"/>
        <w:ind w:firstLine="4960" w:firstLineChars="1550"/>
        <w:rPr>
          <w:rFonts w:ascii="仿宋" w:hAnsi="仿宋" w:eastAsia="仿宋"/>
          <w:sz w:val="32"/>
          <w:szCs w:val="32"/>
        </w:rPr>
      </w:pPr>
      <w:r>
        <w:rPr>
          <w:rFonts w:ascii="仿宋" w:hAnsi="仿宋" w:eastAsia="仿宋"/>
          <w:sz w:val="32"/>
          <w:szCs w:val="32"/>
        </w:rPr>
        <w:t>宁夏警官职业学院</w:t>
      </w:r>
    </w:p>
    <w:p>
      <w:pPr>
        <w:spacing w:line="520" w:lineRule="exact"/>
        <w:rPr>
          <w:rFonts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2021年6月15日</w:t>
      </w:r>
    </w:p>
    <w:p>
      <w:pPr>
        <w:snapToGrid w:val="0"/>
        <w:spacing w:line="520" w:lineRule="exact"/>
        <w:ind w:firstLine="640" w:firstLineChars="200"/>
        <w:rPr>
          <w:rFonts w:ascii="仿宋" w:hAnsi="仿宋" w:eastAsia="仿宋"/>
          <w:sz w:val="32"/>
          <w:szCs w:val="32"/>
        </w:rPr>
      </w:pPr>
    </w:p>
    <w:p>
      <w:pPr>
        <w:snapToGrid w:val="0"/>
        <w:spacing w:line="300" w:lineRule="auto"/>
        <w:ind w:firstLine="560" w:firstLineChars="200"/>
        <w:jc w:val="center"/>
        <w:rPr>
          <w:rFonts w:ascii="宋体" w:hAnsi="宋体"/>
          <w:sz w:val="28"/>
          <w:szCs w:val="28"/>
        </w:rPr>
      </w:pPr>
      <w:r>
        <w:rPr>
          <w:rFonts w:hint="eastAsia" w:ascii="宋体" w:hAnsi="宋体"/>
          <w:sz w:val="28"/>
          <w:szCs w:val="28"/>
        </w:rPr>
        <w:t xml:space="preserve">     </w:t>
      </w:r>
    </w:p>
    <w:p>
      <w:pPr>
        <w:snapToGrid w:val="0"/>
        <w:spacing w:line="300" w:lineRule="auto"/>
        <w:ind w:firstLine="560" w:firstLineChars="200"/>
        <w:jc w:val="center"/>
        <w:rPr>
          <w:rFonts w:ascii="宋体" w:hAnsi="宋体"/>
          <w:sz w:val="28"/>
          <w:szCs w:val="28"/>
        </w:rPr>
      </w:pPr>
    </w:p>
    <w:p>
      <w:pPr>
        <w:snapToGrid w:val="0"/>
        <w:spacing w:line="300" w:lineRule="auto"/>
        <w:ind w:firstLine="560" w:firstLineChars="200"/>
        <w:jc w:val="center"/>
        <w:rPr>
          <w:rFonts w:ascii="宋体" w:hAnsi="宋体"/>
          <w:sz w:val="28"/>
          <w:szCs w:val="28"/>
        </w:rPr>
      </w:pPr>
    </w:p>
    <w:p>
      <w:pPr>
        <w:jc w:val="center"/>
        <w:rPr>
          <w:rFonts w:ascii="方正小标宋简体" w:hAnsi="仿宋" w:eastAsia="方正小标宋简体" w:cs="仿宋"/>
          <w:b/>
          <w:bCs/>
          <w:sz w:val="44"/>
          <w:szCs w:val="44"/>
        </w:rPr>
      </w:pPr>
      <w:r>
        <w:rPr>
          <w:rFonts w:hint="eastAsia" w:ascii="方正小标宋简体" w:hAnsi="仿宋" w:eastAsia="方正小标宋简体" w:cs="仿宋"/>
          <w:b/>
          <w:bCs/>
          <w:sz w:val="44"/>
          <w:szCs w:val="44"/>
        </w:rPr>
        <w:t>宁夏警官职业学院学生学业预警制度</w:t>
      </w:r>
    </w:p>
    <w:p>
      <w:pPr>
        <w:jc w:val="center"/>
        <w:rPr>
          <w:rFonts w:ascii="方正小标宋简体" w:hAnsi="仿宋" w:eastAsia="方正小标宋简体" w:cs="仿宋"/>
          <w:sz w:val="44"/>
          <w:szCs w:val="44"/>
        </w:rPr>
      </w:pPr>
      <w:r>
        <w:rPr>
          <w:rFonts w:hint="eastAsia" w:ascii="方正小标宋简体" w:hAnsi="仿宋" w:eastAsia="方正小标宋简体" w:cs="仿宋"/>
          <w:b/>
          <w:bCs/>
          <w:sz w:val="44"/>
          <w:szCs w:val="44"/>
        </w:rPr>
        <w:t>（试行）</w:t>
      </w:r>
    </w:p>
    <w:p>
      <w:pPr>
        <w:ind w:firstLine="560" w:firstLineChars="200"/>
        <w:rPr>
          <w:rFonts w:ascii="仿宋" w:hAnsi="仿宋" w:eastAsia="仿宋" w:cs="仿宋"/>
          <w:sz w:val="28"/>
          <w:szCs w:val="28"/>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为进一步加强学风建设、强化对各层次学生的学业管理，提高对学生学业的指导性、预见性，通过学院、学生及其家长三方面的沟通与协作，帮助学生顺利完成学业达到预期毕业条件，稳步提升教学质量，特制定本办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第一条 学业预警是指学院依据《高等学校学籍管理办法》的有关规定和各专业培养计划的要求，对学生每学期的学习情况进行统计，对学生可能或已经发生的学习问题和学业困难进行警示，告知学生本人及家长可能产生的不良后果，并有针对性地采取相应的补救和防范措施，帮助学生完成学业的一种干预制度。</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第二条 本办法适用于学院三年制高职、五年制高职和三年制中职各专业学生。</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第三条 学业预警分为黄色预警、橙色预警、红色预警三个等级（对应关系见下表），学业预警工作按学期进行，每学期期末考试成绩公示后，由系部根据学生学业情况建立相应的预警档案并发出预警通知书。</w:t>
      </w:r>
    </w:p>
    <w:tbl>
      <w:tblPr>
        <w:tblStyle w:val="12"/>
        <w:tblpPr w:leftFromText="180" w:rightFromText="180" w:vertAnchor="text" w:tblpXSpec="right" w:tblpY="1"/>
        <w:tblOverlap w:val="never"/>
        <w:tblW w:w="8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7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6" w:type="dxa"/>
            <w:vAlign w:val="center"/>
          </w:tcPr>
          <w:p>
            <w:pPr>
              <w:jc w:val="center"/>
              <w:rPr>
                <w:rFonts w:ascii="仿宋" w:hAnsi="仿宋" w:eastAsia="仿宋" w:cs="仿宋"/>
                <w:sz w:val="24"/>
              </w:rPr>
            </w:pPr>
            <w:r>
              <w:rPr>
                <w:rFonts w:hint="eastAsia" w:ascii="仿宋" w:hAnsi="仿宋" w:eastAsia="仿宋" w:cs="仿宋"/>
                <w:sz w:val="24"/>
              </w:rPr>
              <w:t>级别</w:t>
            </w:r>
          </w:p>
        </w:tc>
        <w:tc>
          <w:tcPr>
            <w:tcW w:w="7146" w:type="dxa"/>
            <w:vAlign w:val="center"/>
          </w:tcPr>
          <w:p>
            <w:pPr>
              <w:jc w:val="center"/>
              <w:rPr>
                <w:rFonts w:ascii="仿宋" w:hAnsi="仿宋" w:eastAsia="仿宋" w:cs="仿宋"/>
                <w:sz w:val="24"/>
              </w:rPr>
            </w:pPr>
            <w:r>
              <w:rPr>
                <w:rFonts w:hint="eastAsia" w:ascii="仿宋" w:hAnsi="仿宋" w:eastAsia="仿宋" w:cs="仿宋"/>
                <w:sz w:val="24"/>
              </w:rPr>
              <w:t>呈现状况</w:t>
            </w:r>
          </w:p>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6" w:type="dxa"/>
            <w:vAlign w:val="center"/>
          </w:tcPr>
          <w:p>
            <w:pPr>
              <w:jc w:val="center"/>
              <w:rPr>
                <w:rFonts w:hint="eastAsia" w:ascii="仿宋" w:hAnsi="仿宋" w:eastAsia="仿宋" w:cs="仿宋"/>
                <w:sz w:val="24"/>
              </w:rPr>
            </w:pPr>
            <w:r>
              <w:rPr>
                <w:rFonts w:hint="eastAsia" w:ascii="仿宋" w:hAnsi="仿宋" w:eastAsia="仿宋" w:cs="仿宋"/>
                <w:sz w:val="24"/>
              </w:rPr>
              <w:t>黄色</w:t>
            </w:r>
            <w:r>
              <w:rPr>
                <w:rFonts w:ascii="仿宋" w:hAnsi="仿宋" w:eastAsia="仿宋" w:cs="仿宋"/>
                <w:sz w:val="24"/>
              </w:rPr>
              <w:t>预警</w:t>
            </w:r>
          </w:p>
        </w:tc>
        <w:tc>
          <w:tcPr>
            <w:tcW w:w="7146" w:type="dxa"/>
            <w:vAlign w:val="center"/>
          </w:tcPr>
          <w:p>
            <w:pPr>
              <w:jc w:val="center"/>
              <w:rPr>
                <w:rFonts w:hint="eastAsia" w:ascii="仿宋" w:hAnsi="仿宋" w:eastAsia="仿宋" w:cs="仿宋"/>
                <w:sz w:val="24"/>
              </w:rPr>
            </w:pPr>
            <w:r>
              <w:rPr>
                <w:rFonts w:hint="eastAsia" w:ascii="仿宋" w:hAnsi="仿宋" w:eastAsia="仿宋" w:cs="仿宋"/>
                <w:sz w:val="24"/>
              </w:rPr>
              <w:t>必修、限选课累计不及格大于等于3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6" w:type="dxa"/>
            <w:vAlign w:val="center"/>
          </w:tcPr>
          <w:p>
            <w:pPr>
              <w:jc w:val="center"/>
              <w:rPr>
                <w:rFonts w:hint="eastAsia" w:ascii="仿宋" w:hAnsi="仿宋" w:eastAsia="仿宋" w:cs="仿宋"/>
                <w:sz w:val="24"/>
              </w:rPr>
            </w:pPr>
            <w:r>
              <w:rPr>
                <w:rFonts w:hint="eastAsia" w:ascii="仿宋" w:hAnsi="仿宋" w:eastAsia="仿宋" w:cs="仿宋"/>
                <w:sz w:val="24"/>
              </w:rPr>
              <w:t>橙色</w:t>
            </w:r>
            <w:r>
              <w:rPr>
                <w:rFonts w:ascii="仿宋" w:hAnsi="仿宋" w:eastAsia="仿宋" w:cs="仿宋"/>
                <w:sz w:val="24"/>
              </w:rPr>
              <w:t>预警</w:t>
            </w:r>
          </w:p>
        </w:tc>
        <w:tc>
          <w:tcPr>
            <w:tcW w:w="7146" w:type="dxa"/>
            <w:vAlign w:val="center"/>
          </w:tcPr>
          <w:p>
            <w:pPr>
              <w:jc w:val="center"/>
              <w:rPr>
                <w:rFonts w:hint="eastAsia" w:ascii="仿宋" w:hAnsi="仿宋" w:eastAsia="仿宋" w:cs="仿宋"/>
                <w:sz w:val="24"/>
              </w:rPr>
            </w:pPr>
            <w:r>
              <w:rPr>
                <w:rFonts w:hint="eastAsia" w:ascii="仿宋" w:hAnsi="仿宋" w:eastAsia="仿宋" w:cs="仿宋"/>
                <w:sz w:val="24"/>
              </w:rPr>
              <w:t>必修、限选课累计不及格大于等于4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66" w:type="dxa"/>
            <w:vAlign w:val="center"/>
          </w:tcPr>
          <w:p>
            <w:pPr>
              <w:jc w:val="center"/>
              <w:rPr>
                <w:rFonts w:ascii="仿宋" w:hAnsi="仿宋" w:eastAsia="仿宋" w:cs="仿宋"/>
                <w:sz w:val="24"/>
              </w:rPr>
            </w:pPr>
            <w:r>
              <w:rPr>
                <w:rFonts w:hint="eastAsia" w:ascii="仿宋" w:hAnsi="仿宋" w:eastAsia="仿宋" w:cs="仿宋"/>
                <w:sz w:val="24"/>
              </w:rPr>
              <w:t>红色预警</w:t>
            </w:r>
          </w:p>
        </w:tc>
        <w:tc>
          <w:tcPr>
            <w:tcW w:w="7146" w:type="dxa"/>
            <w:vAlign w:val="center"/>
          </w:tcPr>
          <w:p>
            <w:pPr>
              <w:jc w:val="center"/>
              <w:rPr>
                <w:rFonts w:ascii="仿宋" w:hAnsi="仿宋" w:eastAsia="仿宋" w:cs="仿宋"/>
                <w:sz w:val="24"/>
              </w:rPr>
            </w:pPr>
            <w:r>
              <w:rPr>
                <w:rFonts w:hint="eastAsia" w:ascii="仿宋" w:hAnsi="仿宋" w:eastAsia="仿宋" w:cs="仿宋"/>
                <w:sz w:val="24"/>
              </w:rPr>
              <w:t>必修、限选课累计不及格大于等于5</w:t>
            </w:r>
          </w:p>
        </w:tc>
      </w:tr>
    </w:tbl>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第四条 呈现状况凡符合上述任何一条，均按相应黄色、橙色、红色预警发出通知。</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第五条 学院成立以院长为组长、分管教学和学生工作的院领导为副组长的学业预警工作领导小组负责学院学业预警工作。教务处和学生处为学生学业预警监督机构，系部为学生学业预警具体管理与执行部门。</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第六条 学业预警工作流程</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1.每学期开学第一周，系部指定专人（系部教学干事和学管干事）依据各专业实施性教学计划对学生学业情况进行统计，确定进入学业预警范围的学生名单。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凡达到黄色预警者，系部将向被预警学生下达黄色预警通知书，通知学生家长及其辅导员（班主任），辅导员（班主任）要密切关注，通过谈心谈话、联系家长等多种方式，摸排出学生出现黄色预警的根本原因，然后采取一帮一或多帮一的方法，帮助被预警学生有效提高成绩，避免进入橙色预警阶段。</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凡达到橙色预警及以上者，系部将向学生及家长寄发橙色学业预警通知书，提醒家长及时对孩子进行教育并要求家长寄回反馈材料，配合学校督促学生完成学业；对家长寄回的反馈材料，系部将建立相关档案备查，同时副本存学生处。</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凡达到红色预警者，系部将向学生及家长寄发红色学业预警通知书，学生辅导员还将通过电话、邮件等途径，邀请家长来学院就被预警学生的学业情况进行面谈，若家长来校不便则至少保证每学期通过电话联系家长两次以上。谈话记录需及时整理，记录确切的谈话内容、时间、地点，辅导员及证明人签名。</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5.系部给每位受到被预警学生建立预警管理档案，预警教育过程应留有书面记录并填写《被预警学生谈话记录表》。学生收到预警通知后，必须撰写学业分析情况材料，制定学习计划，否则，预警进一步提升等级。系部定期对本学期发出学业被预警学生的学习情况进行检查，督促学生提高学习质量。</w:t>
      </w:r>
    </w:p>
    <w:p>
      <w:pPr>
        <w:spacing w:line="540" w:lineRule="exact"/>
        <w:ind w:firstLine="640" w:firstLineChars="200"/>
        <w:rPr>
          <w:rFonts w:ascii="仿宋" w:hAnsi="仿宋" w:eastAsia="仿宋" w:cs="仿宋"/>
          <w:color w:val="0000FF"/>
          <w:sz w:val="32"/>
          <w:szCs w:val="32"/>
        </w:rPr>
      </w:pPr>
      <w:r>
        <w:rPr>
          <w:rFonts w:hint="eastAsia" w:ascii="仿宋" w:hAnsi="仿宋" w:eastAsia="仿宋" w:cs="仿宋"/>
          <w:sz w:val="32"/>
          <w:szCs w:val="32"/>
        </w:rPr>
        <w:t>第七条 新学期开始前，辅导员（班主任）要将曾出现过学业预警的学生情况向各位任课教师反馈，并协调任课老师及时有针对性地加强对被预警学生的学业督促和指导，要求被预警学生制定学习计划并参加相关课程辅导，及时关注被预警学生的学习情况。系部每学期开学三周内将系部学生学业预警情况报教务处、学生处备案。</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第八条 对于系部预警不及时，或对被预警学生未及时采取帮扶措施导致学生不能正常毕业，影响学院学生正常毕业率，主管院领导对系部书记、主任进行约谈。</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第九条 本制度自发布之日起施行，由教务处负责解释。</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黑体" w:hAnsi="黑体" w:eastAsia="黑体" w:cs="仿宋"/>
          <w:sz w:val="32"/>
          <w:szCs w:val="32"/>
        </w:rPr>
        <w:t>附件：</w:t>
      </w:r>
      <w:r>
        <w:rPr>
          <w:rFonts w:hint="eastAsia" w:ascii="仿宋" w:hAnsi="仿宋" w:eastAsia="仿宋" w:cs="仿宋"/>
          <w:sz w:val="32"/>
          <w:szCs w:val="32"/>
        </w:rPr>
        <w:t>1.宁夏警官职业学院学生学业预警通知书</w:t>
      </w:r>
    </w:p>
    <w:p>
      <w:pPr>
        <w:spacing w:line="540" w:lineRule="exact"/>
        <w:ind w:firstLine="1600" w:firstLineChars="500"/>
        <w:rPr>
          <w:rFonts w:ascii="仿宋" w:hAnsi="仿宋" w:eastAsia="仿宋" w:cs="仿宋"/>
          <w:sz w:val="32"/>
          <w:szCs w:val="32"/>
        </w:rPr>
      </w:pPr>
      <w:r>
        <w:rPr>
          <w:rFonts w:hint="eastAsia" w:ascii="仿宋" w:hAnsi="仿宋" w:eastAsia="仿宋" w:cs="仿宋"/>
          <w:sz w:val="32"/>
          <w:szCs w:val="32"/>
        </w:rPr>
        <w:t>2.宁夏警官职业学院被预警学生谈话记录表</w:t>
      </w:r>
    </w:p>
    <w:p>
      <w:pPr>
        <w:spacing w:line="540" w:lineRule="exact"/>
        <w:ind w:firstLine="1600" w:firstLineChars="500"/>
        <w:rPr>
          <w:rFonts w:ascii="仿宋" w:hAnsi="仿宋" w:eastAsia="仿宋" w:cs="仿宋"/>
          <w:sz w:val="32"/>
          <w:szCs w:val="32"/>
        </w:rPr>
      </w:pPr>
    </w:p>
    <w:p>
      <w:pPr>
        <w:spacing w:line="540" w:lineRule="exact"/>
        <w:rPr>
          <w:rFonts w:ascii="仿宋" w:hAnsi="仿宋" w:eastAsia="仿宋" w:cs="仿宋"/>
          <w:sz w:val="32"/>
          <w:szCs w:val="32"/>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附件1</w:t>
      </w:r>
    </w:p>
    <w:p>
      <w:pPr>
        <w:jc w:val="center"/>
        <w:rPr>
          <w:rFonts w:ascii="方正小标宋简体" w:hAnsi="仿宋" w:eastAsia="方正小标宋简体" w:cs="仿宋"/>
          <w:sz w:val="32"/>
          <w:szCs w:val="32"/>
        </w:rPr>
      </w:pPr>
      <w:r>
        <w:rPr>
          <w:rFonts w:hint="eastAsia" w:ascii="方正小标宋简体" w:hAnsi="仿宋" w:eastAsia="方正小标宋简体" w:cs="仿宋"/>
          <w:sz w:val="32"/>
          <w:szCs w:val="32"/>
        </w:rPr>
        <w:t>宁夏警官职业学院学生学业预警通知书</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419" w:type="dxa"/>
            <w:vAlign w:val="center"/>
          </w:tcPr>
          <w:p>
            <w:pPr>
              <w:jc w:val="center"/>
              <w:rPr>
                <w:rFonts w:ascii="仿宋" w:hAnsi="仿宋" w:eastAsia="仿宋" w:cs="仿宋"/>
                <w:sz w:val="24"/>
              </w:rPr>
            </w:pPr>
            <w:r>
              <w:rPr>
                <w:rFonts w:hint="eastAsia" w:ascii="仿宋" w:hAnsi="仿宋" w:eastAsia="仿宋" w:cs="仿宋"/>
                <w:sz w:val="24"/>
              </w:rPr>
              <w:t>姓名</w:t>
            </w:r>
          </w:p>
        </w:tc>
        <w:tc>
          <w:tcPr>
            <w:tcW w:w="1419" w:type="dxa"/>
            <w:vAlign w:val="center"/>
          </w:tcPr>
          <w:p>
            <w:pPr>
              <w:jc w:val="center"/>
              <w:rPr>
                <w:rFonts w:ascii="仿宋" w:hAnsi="仿宋" w:eastAsia="仿宋" w:cs="仿宋"/>
                <w:sz w:val="24"/>
              </w:rPr>
            </w:pPr>
          </w:p>
        </w:tc>
        <w:tc>
          <w:tcPr>
            <w:tcW w:w="1419" w:type="dxa"/>
            <w:vAlign w:val="center"/>
          </w:tcPr>
          <w:p>
            <w:pPr>
              <w:jc w:val="center"/>
              <w:rPr>
                <w:rFonts w:ascii="仿宋" w:hAnsi="仿宋" w:eastAsia="仿宋" w:cs="仿宋"/>
                <w:sz w:val="24"/>
              </w:rPr>
            </w:pPr>
            <w:r>
              <w:rPr>
                <w:rFonts w:hint="eastAsia" w:ascii="仿宋" w:hAnsi="仿宋" w:eastAsia="仿宋" w:cs="仿宋"/>
                <w:sz w:val="24"/>
              </w:rPr>
              <w:t>性别</w:t>
            </w:r>
          </w:p>
        </w:tc>
        <w:tc>
          <w:tcPr>
            <w:tcW w:w="1420" w:type="dxa"/>
            <w:vAlign w:val="center"/>
          </w:tcPr>
          <w:p>
            <w:pPr>
              <w:jc w:val="center"/>
              <w:rPr>
                <w:rFonts w:ascii="仿宋" w:hAnsi="仿宋" w:eastAsia="仿宋" w:cs="仿宋"/>
                <w:sz w:val="24"/>
              </w:rPr>
            </w:pPr>
          </w:p>
        </w:tc>
        <w:tc>
          <w:tcPr>
            <w:tcW w:w="1420" w:type="dxa"/>
            <w:vAlign w:val="center"/>
          </w:tcPr>
          <w:p>
            <w:pPr>
              <w:jc w:val="center"/>
              <w:rPr>
                <w:rFonts w:ascii="仿宋" w:hAnsi="仿宋" w:eastAsia="仿宋" w:cs="仿宋"/>
                <w:sz w:val="24"/>
              </w:rPr>
            </w:pPr>
            <w:r>
              <w:rPr>
                <w:rFonts w:hint="eastAsia" w:ascii="仿宋" w:hAnsi="仿宋" w:eastAsia="仿宋" w:cs="仿宋"/>
                <w:sz w:val="24"/>
              </w:rPr>
              <w:t>辅导员</w:t>
            </w:r>
          </w:p>
        </w:tc>
        <w:tc>
          <w:tcPr>
            <w:tcW w:w="1420"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9" w:type="dxa"/>
            <w:vAlign w:val="center"/>
          </w:tcPr>
          <w:p>
            <w:pPr>
              <w:jc w:val="center"/>
              <w:rPr>
                <w:rFonts w:ascii="仿宋" w:hAnsi="仿宋" w:eastAsia="仿宋" w:cs="仿宋"/>
                <w:sz w:val="24"/>
              </w:rPr>
            </w:pPr>
            <w:r>
              <w:rPr>
                <w:rFonts w:hint="eastAsia" w:ascii="仿宋" w:hAnsi="仿宋" w:eastAsia="仿宋" w:cs="仿宋"/>
                <w:sz w:val="24"/>
              </w:rPr>
              <w:t>系部</w:t>
            </w:r>
          </w:p>
        </w:tc>
        <w:tc>
          <w:tcPr>
            <w:tcW w:w="1419" w:type="dxa"/>
            <w:vAlign w:val="center"/>
          </w:tcPr>
          <w:p>
            <w:pPr>
              <w:jc w:val="center"/>
              <w:rPr>
                <w:rFonts w:ascii="仿宋" w:hAnsi="仿宋" w:eastAsia="仿宋" w:cs="仿宋"/>
                <w:sz w:val="24"/>
              </w:rPr>
            </w:pPr>
          </w:p>
        </w:tc>
        <w:tc>
          <w:tcPr>
            <w:tcW w:w="1419" w:type="dxa"/>
            <w:vAlign w:val="center"/>
          </w:tcPr>
          <w:p>
            <w:pPr>
              <w:jc w:val="center"/>
              <w:rPr>
                <w:rFonts w:ascii="仿宋" w:hAnsi="仿宋" w:eastAsia="仿宋" w:cs="仿宋"/>
                <w:sz w:val="24"/>
              </w:rPr>
            </w:pPr>
            <w:r>
              <w:rPr>
                <w:rFonts w:hint="eastAsia" w:ascii="仿宋" w:hAnsi="仿宋" w:eastAsia="仿宋" w:cs="仿宋"/>
                <w:sz w:val="24"/>
              </w:rPr>
              <w:t>专业、区队</w:t>
            </w:r>
          </w:p>
        </w:tc>
        <w:tc>
          <w:tcPr>
            <w:tcW w:w="1420" w:type="dxa"/>
            <w:vAlign w:val="center"/>
          </w:tcPr>
          <w:p>
            <w:pPr>
              <w:jc w:val="center"/>
              <w:rPr>
                <w:rFonts w:ascii="仿宋" w:hAnsi="仿宋" w:eastAsia="仿宋" w:cs="仿宋"/>
                <w:sz w:val="24"/>
              </w:rPr>
            </w:pPr>
          </w:p>
        </w:tc>
        <w:tc>
          <w:tcPr>
            <w:tcW w:w="1420" w:type="dxa"/>
            <w:vAlign w:val="center"/>
          </w:tcPr>
          <w:p>
            <w:pPr>
              <w:jc w:val="center"/>
              <w:rPr>
                <w:rFonts w:ascii="仿宋" w:hAnsi="仿宋" w:eastAsia="仿宋" w:cs="仿宋"/>
                <w:sz w:val="24"/>
              </w:rPr>
            </w:pPr>
            <w:r>
              <w:rPr>
                <w:rFonts w:hint="eastAsia" w:ascii="仿宋" w:hAnsi="仿宋" w:eastAsia="仿宋" w:cs="仿宋"/>
                <w:sz w:val="24"/>
              </w:rPr>
              <w:t>预警等级</w:t>
            </w:r>
          </w:p>
        </w:tc>
        <w:tc>
          <w:tcPr>
            <w:tcW w:w="1420"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6"/>
          </w:tcPr>
          <w:p>
            <w:pPr>
              <w:jc w:val="left"/>
              <w:rPr>
                <w:rFonts w:ascii="仿宋" w:hAnsi="仿宋" w:eastAsia="仿宋" w:cs="仿宋"/>
                <w:sz w:val="24"/>
              </w:rPr>
            </w:pPr>
            <w:r>
              <w:rPr>
                <w:rFonts w:hint="eastAsia" w:ascii="仿宋" w:hAnsi="仿宋" w:eastAsia="仿宋" w:cs="仿宋"/>
                <w:sz w:val="24"/>
              </w:rPr>
              <w:t>具体情况：</w:t>
            </w: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7" w:type="dxa"/>
            <w:gridSpan w:val="6"/>
          </w:tcPr>
          <w:p>
            <w:pPr>
              <w:spacing w:line="460" w:lineRule="exact"/>
              <w:jc w:val="left"/>
              <w:rPr>
                <w:rFonts w:ascii="仿宋" w:hAnsi="仿宋" w:eastAsia="仿宋" w:cs="仿宋"/>
                <w:sz w:val="24"/>
              </w:rPr>
            </w:pPr>
            <w:r>
              <w:rPr>
                <w:rFonts w:hint="eastAsia" w:ascii="仿宋" w:hAnsi="仿宋" w:eastAsia="仿宋" w:cs="仿宋"/>
                <w:sz w:val="24"/>
              </w:rPr>
              <w:t>被预警学生（签字）：               学生家长（签字）：</w:t>
            </w:r>
          </w:p>
          <w:p>
            <w:pPr>
              <w:spacing w:line="460" w:lineRule="exact"/>
              <w:jc w:val="left"/>
              <w:rPr>
                <w:rFonts w:ascii="仿宋" w:hAnsi="仿宋" w:eastAsia="仿宋" w:cs="仿宋"/>
                <w:sz w:val="24"/>
              </w:rPr>
            </w:pPr>
            <w:r>
              <w:rPr>
                <w:rFonts w:hint="eastAsia" w:ascii="仿宋" w:hAnsi="仿宋" w:eastAsia="仿宋" w:cs="仿宋"/>
                <w:sz w:val="24"/>
              </w:rPr>
              <w:t xml:space="preserve">辅导员（签字）：   </w:t>
            </w:r>
          </w:p>
          <w:p>
            <w:pPr>
              <w:spacing w:line="460" w:lineRule="exact"/>
              <w:jc w:val="left"/>
              <w:rPr>
                <w:rFonts w:ascii="仿宋" w:hAnsi="仿宋" w:eastAsia="仿宋" w:cs="仿宋"/>
                <w:sz w:val="24"/>
              </w:rPr>
            </w:pPr>
            <w:r>
              <w:rPr>
                <w:rFonts w:hint="eastAsia" w:ascii="仿宋" w:hAnsi="仿宋" w:eastAsia="仿宋" w:cs="仿宋"/>
                <w:sz w:val="24"/>
              </w:rPr>
              <w:t>系部负责人：</w:t>
            </w:r>
          </w:p>
          <w:p>
            <w:pPr>
              <w:jc w:val="left"/>
              <w:rPr>
                <w:rFonts w:ascii="仿宋" w:hAnsi="仿宋" w:eastAsia="仿宋" w:cs="仿宋"/>
                <w:sz w:val="24"/>
              </w:rPr>
            </w:pPr>
            <w:r>
              <w:rPr>
                <w:rFonts w:hint="eastAsia" w:ascii="仿宋" w:hAnsi="仿宋" w:eastAsia="仿宋" w:cs="仿宋"/>
                <w:sz w:val="24"/>
              </w:rPr>
              <w:t xml:space="preserve">                                             系部（盖章）</w:t>
            </w:r>
          </w:p>
          <w:p>
            <w:pPr>
              <w:jc w:val="left"/>
              <w:rPr>
                <w:rFonts w:ascii="仿宋" w:hAnsi="仿宋" w:eastAsia="仿宋" w:cs="仿宋"/>
                <w:sz w:val="24"/>
              </w:rPr>
            </w:pPr>
            <w:r>
              <w:rPr>
                <w:rFonts w:hint="eastAsia" w:ascii="仿宋" w:hAnsi="仿宋" w:eastAsia="仿宋" w:cs="仿宋"/>
                <w:sz w:val="24"/>
              </w:rPr>
              <w:t xml:space="preserve">                                             年   月   日</w:t>
            </w:r>
          </w:p>
        </w:tc>
      </w:tr>
    </w:tbl>
    <w:p>
      <w:pPr>
        <w:rPr>
          <w:rFonts w:ascii="仿宋" w:hAnsi="仿宋" w:eastAsia="仿宋" w:cs="仿宋"/>
          <w:sz w:val="24"/>
        </w:rPr>
      </w:pPr>
      <w:r>
        <w:rPr>
          <w:rFonts w:hint="eastAsia" w:ascii="仿宋" w:hAnsi="仿宋" w:eastAsia="仿宋" w:cs="仿宋"/>
          <w:sz w:val="24"/>
        </w:rPr>
        <w:t>备注：此表一式4份，教务处、学生处、系部、被预警学生各1份。同时，告知学生家长。</w:t>
      </w:r>
    </w:p>
    <w:p>
      <w:pPr>
        <w:rPr>
          <w:rFonts w:ascii="仿宋" w:hAnsi="仿宋" w:eastAsia="仿宋" w:cs="仿宋"/>
          <w:sz w:val="28"/>
          <w:szCs w:val="28"/>
        </w:rPr>
      </w:pPr>
      <w:r>
        <w:rPr>
          <w:rFonts w:hint="eastAsia" w:ascii="仿宋" w:hAnsi="仿宋" w:eastAsia="仿宋" w:cs="仿宋"/>
          <w:sz w:val="28"/>
          <w:szCs w:val="28"/>
        </w:rPr>
        <w:t>附件2</w:t>
      </w:r>
    </w:p>
    <w:p>
      <w:pPr>
        <w:jc w:val="center"/>
        <w:rPr>
          <w:rFonts w:ascii="方正小标宋简体" w:hAnsi="仿宋" w:eastAsia="方正小标宋简体" w:cs="仿宋"/>
          <w:sz w:val="32"/>
          <w:szCs w:val="32"/>
        </w:rPr>
      </w:pPr>
      <w:r>
        <w:rPr>
          <w:rFonts w:hint="eastAsia" w:ascii="方正小标宋简体" w:hAnsi="仿宋" w:eastAsia="方正小标宋简体" w:cs="仿宋"/>
          <w:sz w:val="32"/>
          <w:szCs w:val="32"/>
        </w:rPr>
        <w:t>宁夏警官职业学院被预警学生谈话记录表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419" w:type="dxa"/>
            <w:vAlign w:val="center"/>
          </w:tcPr>
          <w:p>
            <w:pPr>
              <w:jc w:val="center"/>
              <w:rPr>
                <w:rFonts w:ascii="仿宋" w:hAnsi="仿宋" w:eastAsia="仿宋" w:cs="仿宋"/>
                <w:sz w:val="24"/>
              </w:rPr>
            </w:pPr>
            <w:r>
              <w:rPr>
                <w:rFonts w:hint="eastAsia" w:ascii="仿宋" w:hAnsi="仿宋" w:eastAsia="仿宋" w:cs="仿宋"/>
                <w:sz w:val="24"/>
              </w:rPr>
              <w:t>谈话人</w:t>
            </w:r>
          </w:p>
        </w:tc>
        <w:tc>
          <w:tcPr>
            <w:tcW w:w="1419" w:type="dxa"/>
            <w:vAlign w:val="center"/>
          </w:tcPr>
          <w:p>
            <w:pPr>
              <w:jc w:val="center"/>
              <w:rPr>
                <w:rFonts w:ascii="仿宋" w:hAnsi="仿宋" w:eastAsia="仿宋" w:cs="仿宋"/>
                <w:sz w:val="24"/>
              </w:rPr>
            </w:pPr>
          </w:p>
        </w:tc>
        <w:tc>
          <w:tcPr>
            <w:tcW w:w="1419" w:type="dxa"/>
            <w:vAlign w:val="center"/>
          </w:tcPr>
          <w:p>
            <w:pPr>
              <w:jc w:val="center"/>
              <w:rPr>
                <w:rFonts w:ascii="仿宋" w:hAnsi="仿宋" w:eastAsia="仿宋" w:cs="仿宋"/>
                <w:sz w:val="24"/>
              </w:rPr>
            </w:pPr>
            <w:r>
              <w:rPr>
                <w:rFonts w:hint="eastAsia" w:ascii="仿宋" w:hAnsi="仿宋" w:eastAsia="仿宋" w:cs="仿宋"/>
                <w:sz w:val="24"/>
              </w:rPr>
              <w:t>时间</w:t>
            </w:r>
          </w:p>
        </w:tc>
        <w:tc>
          <w:tcPr>
            <w:tcW w:w="1420" w:type="dxa"/>
            <w:vAlign w:val="center"/>
          </w:tcPr>
          <w:p>
            <w:pPr>
              <w:jc w:val="center"/>
              <w:rPr>
                <w:rFonts w:ascii="仿宋" w:hAnsi="仿宋" w:eastAsia="仿宋" w:cs="仿宋"/>
                <w:sz w:val="24"/>
              </w:rPr>
            </w:pPr>
          </w:p>
        </w:tc>
        <w:tc>
          <w:tcPr>
            <w:tcW w:w="1420" w:type="dxa"/>
            <w:vAlign w:val="center"/>
          </w:tcPr>
          <w:p>
            <w:pPr>
              <w:jc w:val="center"/>
              <w:rPr>
                <w:rFonts w:ascii="仿宋" w:hAnsi="仿宋" w:eastAsia="仿宋" w:cs="仿宋"/>
                <w:sz w:val="24"/>
              </w:rPr>
            </w:pPr>
            <w:r>
              <w:rPr>
                <w:rFonts w:hint="eastAsia" w:ascii="仿宋" w:hAnsi="仿宋" w:eastAsia="仿宋" w:cs="仿宋"/>
                <w:sz w:val="24"/>
              </w:rPr>
              <w:t>地点</w:t>
            </w:r>
          </w:p>
        </w:tc>
        <w:tc>
          <w:tcPr>
            <w:tcW w:w="1420"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9" w:type="dxa"/>
            <w:vAlign w:val="center"/>
          </w:tcPr>
          <w:p>
            <w:pPr>
              <w:jc w:val="center"/>
              <w:rPr>
                <w:rFonts w:ascii="仿宋" w:hAnsi="仿宋" w:eastAsia="仿宋" w:cs="仿宋"/>
                <w:sz w:val="24"/>
              </w:rPr>
            </w:pPr>
            <w:r>
              <w:rPr>
                <w:rFonts w:hint="eastAsia" w:ascii="仿宋" w:hAnsi="仿宋" w:eastAsia="仿宋" w:cs="仿宋"/>
                <w:sz w:val="24"/>
              </w:rPr>
              <w:t>被谈话人</w:t>
            </w:r>
          </w:p>
        </w:tc>
        <w:tc>
          <w:tcPr>
            <w:tcW w:w="1419" w:type="dxa"/>
            <w:vAlign w:val="center"/>
          </w:tcPr>
          <w:p>
            <w:pPr>
              <w:jc w:val="center"/>
              <w:rPr>
                <w:rFonts w:ascii="仿宋" w:hAnsi="仿宋" w:eastAsia="仿宋" w:cs="仿宋"/>
                <w:sz w:val="24"/>
              </w:rPr>
            </w:pPr>
          </w:p>
        </w:tc>
        <w:tc>
          <w:tcPr>
            <w:tcW w:w="1419" w:type="dxa"/>
            <w:vAlign w:val="center"/>
          </w:tcPr>
          <w:p>
            <w:pPr>
              <w:jc w:val="center"/>
              <w:rPr>
                <w:rFonts w:ascii="仿宋" w:hAnsi="仿宋" w:eastAsia="仿宋" w:cs="仿宋"/>
                <w:sz w:val="24"/>
              </w:rPr>
            </w:pPr>
            <w:r>
              <w:rPr>
                <w:rFonts w:hint="eastAsia" w:ascii="仿宋" w:hAnsi="仿宋" w:eastAsia="仿宋" w:cs="仿宋"/>
                <w:sz w:val="24"/>
              </w:rPr>
              <w:t>谈话主题</w:t>
            </w:r>
          </w:p>
        </w:tc>
        <w:tc>
          <w:tcPr>
            <w:tcW w:w="4260" w:type="dxa"/>
            <w:gridSpan w:val="3"/>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7" w:type="dxa"/>
            <w:gridSpan w:val="6"/>
          </w:tcPr>
          <w:p>
            <w:pPr>
              <w:jc w:val="left"/>
              <w:rPr>
                <w:rFonts w:ascii="仿宋" w:hAnsi="仿宋" w:eastAsia="仿宋" w:cs="仿宋"/>
                <w:sz w:val="24"/>
              </w:rPr>
            </w:pPr>
            <w:r>
              <w:rPr>
                <w:rFonts w:hint="eastAsia" w:ascii="仿宋" w:hAnsi="仿宋" w:eastAsia="仿宋" w:cs="仿宋"/>
                <w:sz w:val="24"/>
              </w:rPr>
              <w:t>谈话内容：</w:t>
            </w: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tc>
      </w:tr>
    </w:tbl>
    <w:p>
      <w:pPr>
        <w:jc w:val="center"/>
        <w:rPr>
          <w:rFonts w:ascii="仿宋" w:hAnsi="仿宋" w:eastAsia="仿宋" w:cs="仿宋"/>
          <w:sz w:val="32"/>
          <w:szCs w:val="32"/>
        </w:rPr>
      </w:pPr>
    </w:p>
    <w:p>
      <w:pPr>
        <w:snapToGrid w:val="0"/>
        <w:spacing w:line="300" w:lineRule="auto"/>
        <w:ind w:firstLine="560" w:firstLineChars="200"/>
        <w:jc w:val="center"/>
        <w:rPr>
          <w:rFonts w:ascii="宋体" w:hAnsi="宋体"/>
          <w:sz w:val="28"/>
          <w:szCs w:val="28"/>
        </w:rPr>
      </w:pPr>
      <w:bookmarkStart w:id="0" w:name="_GoBack"/>
      <w:bookmarkEnd w:id="0"/>
    </w:p>
    <w:p>
      <w:pPr>
        <w:snapToGrid w:val="0"/>
        <w:spacing w:line="300" w:lineRule="auto"/>
        <w:rPr>
          <w:rFonts w:ascii="宋体" w:hAnsi="宋体"/>
          <w:b/>
          <w:sz w:val="28"/>
          <w:szCs w:val="28"/>
        </w:rPr>
      </w:pPr>
      <w:r>
        <w:rPr>
          <w:rFonts w:hint="eastAsia" w:ascii="宋体" w:hAnsi="宋体"/>
          <w:sz w:val="28"/>
          <w:szCs w:val="28"/>
        </w:rPr>
        <w:t xml:space="preserve">                                  </w:t>
      </w:r>
    </w:p>
    <w:p>
      <w:pPr>
        <w:spacing w:line="520" w:lineRule="exact"/>
        <w:rPr>
          <w:rFonts w:ascii="仿宋" w:hAnsi="仿宋" w:eastAsia="仿宋"/>
          <w:bCs/>
          <w:color w:val="000000"/>
          <w:sz w:val="32"/>
          <w:szCs w:val="32"/>
        </w:rPr>
      </w:pPr>
      <w: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336550</wp:posOffset>
                </wp:positionV>
                <wp:extent cx="5364480" cy="0"/>
                <wp:effectExtent l="0" t="0" r="266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pt;margin-top:26.5pt;height:0pt;width:422.4pt;z-index:251659264;mso-width-relative:page;mso-height-relative:page;" filled="f" stroked="t" coordsize="21600,21600" o:gfxdata="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S2Im1gAAAAgB&#10;AAAPAAAAAAAAAAEAIAAAACIAAABkcnMvZG93bnJldi54bWxQSwECFAAUAAAACACHTuJAPfe0HOQB&#10;AACqAwAADgAAAAAAAAABACAAAAAlAQAAZHJzL2Uyb0RvYy54bWxQSwUGAAAAAAYABgBZAQAAewUA&#10;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19050</wp:posOffset>
                </wp:positionV>
                <wp:extent cx="5364480" cy="0"/>
                <wp:effectExtent l="0" t="0" r="266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3pt;margin-top:1.5pt;height:0pt;width:422.4pt;z-index:251660288;mso-width-relative:page;mso-height-relative:page;" filled="f" stroked="t" coordsize="21600,21600" o:gfxdata="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LnUbB1AAAAAYBAAAP&#10;AAAAAAAAAAEAIAAAACIAAABkcnMvZG93bnJldi54bWxQSwECFAAUAAAACACHTuJA6Xy3uOMBAACq&#10;AwAADgAAAAAAAAABACAAAAAjAQAAZHJzL2Uyb0RvYy54bWxQSwUGAAAAAAYABgBZAQAAeAUAAAAA&#10;">
                <v:fill on="f" focussize="0,0"/>
                <v:stroke color="#000000" joinstyle="round"/>
                <v:imagedata o:title=""/>
                <o:lock v:ext="edit" aspectratio="f"/>
              </v:line>
            </w:pict>
          </mc:Fallback>
        </mc:AlternateContent>
      </w:r>
      <w:r>
        <w:rPr>
          <w:rFonts w:hint="eastAsia" w:ascii="仿宋" w:hAnsi="仿宋" w:eastAsia="仿宋"/>
          <w:bCs/>
          <w:color w:val="000000"/>
          <w:sz w:val="32"/>
          <w:szCs w:val="32"/>
        </w:rPr>
        <w:t xml:space="preserve">宁夏警官职业学院党政办公室  </w:t>
      </w:r>
      <w:r>
        <w:rPr>
          <w:rFonts w:ascii="仿宋" w:hAnsi="仿宋" w:eastAsia="仿宋"/>
          <w:bCs/>
          <w:color w:val="000000"/>
          <w:sz w:val="32"/>
          <w:szCs w:val="32"/>
        </w:rPr>
        <w:t xml:space="preserve">  </w:t>
      </w:r>
      <w:r>
        <w:rPr>
          <w:rFonts w:hint="eastAsia" w:ascii="仿宋" w:hAnsi="仿宋" w:eastAsia="仿宋"/>
          <w:bCs/>
          <w:color w:val="000000"/>
          <w:sz w:val="32"/>
          <w:szCs w:val="32"/>
        </w:rPr>
        <w:t>20</w:t>
      </w:r>
      <w:r>
        <w:rPr>
          <w:rFonts w:ascii="仿宋" w:hAnsi="仿宋" w:eastAsia="仿宋"/>
          <w:bCs/>
          <w:color w:val="000000"/>
          <w:sz w:val="32"/>
          <w:szCs w:val="32"/>
        </w:rPr>
        <w:t>21</w:t>
      </w:r>
      <w:r>
        <w:rPr>
          <w:rFonts w:hint="eastAsia" w:ascii="仿宋" w:hAnsi="仿宋" w:eastAsia="仿宋"/>
          <w:bCs/>
          <w:color w:val="000000"/>
          <w:sz w:val="32"/>
          <w:szCs w:val="32"/>
        </w:rPr>
        <w:t>年</w:t>
      </w:r>
      <w:r>
        <w:rPr>
          <w:rFonts w:ascii="仿宋" w:hAnsi="仿宋" w:eastAsia="仿宋"/>
          <w:bCs/>
          <w:color w:val="000000"/>
          <w:sz w:val="32"/>
          <w:szCs w:val="32"/>
        </w:rPr>
        <w:t>6</w:t>
      </w:r>
      <w:r>
        <w:rPr>
          <w:rFonts w:hint="eastAsia" w:ascii="仿宋" w:hAnsi="仿宋" w:eastAsia="仿宋"/>
          <w:bCs/>
          <w:color w:val="000000"/>
          <w:sz w:val="32"/>
          <w:szCs w:val="32"/>
        </w:rPr>
        <w:t>月</w:t>
      </w:r>
      <w:r>
        <w:rPr>
          <w:rFonts w:ascii="仿宋" w:hAnsi="仿宋" w:eastAsia="仿宋"/>
          <w:bCs/>
          <w:color w:val="000000"/>
          <w:sz w:val="32"/>
          <w:szCs w:val="32"/>
        </w:rPr>
        <w:t>15</w:t>
      </w:r>
      <w:r>
        <w:rPr>
          <w:rFonts w:hint="eastAsia" w:ascii="仿宋" w:hAnsi="仿宋" w:eastAsia="仿宋"/>
          <w:bCs/>
          <w:color w:val="000000"/>
          <w:sz w:val="32"/>
          <w:szCs w:val="32"/>
        </w:rPr>
        <w:t xml:space="preserve">日印发  </w:t>
      </w:r>
    </w:p>
    <w:p>
      <w:pPr>
        <w:spacing w:line="600" w:lineRule="exact"/>
      </w:pPr>
      <w:r>
        <w:t xml:space="preserve">                                                        </w:t>
      </w:r>
      <w:r>
        <w:rPr>
          <w:rFonts w:ascii="仿宋" w:hAnsi="仿宋" w:eastAsia="仿宋"/>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127158"/>
      <w:docPartObj>
        <w:docPartGallery w:val="AutoText"/>
      </w:docPartObj>
    </w:sdtPr>
    <w:sdtContent>
      <w:p>
        <w:pPr>
          <w:pStyle w:val="9"/>
          <w:jc w:val="center"/>
        </w:pPr>
        <w:r>
          <w:fldChar w:fldCharType="begin"/>
        </w:r>
        <w:r>
          <w:instrText xml:space="preserve">PAGE   \* MERGEFORMAT</w:instrText>
        </w:r>
        <w:r>
          <w:fldChar w:fldCharType="separate"/>
        </w:r>
        <w:r>
          <w:rPr>
            <w:lang w:val="zh-CN"/>
          </w:rPr>
          <w:t>4</w:t>
        </w:r>
        <w:r>
          <w:fldChar w:fldCharType="end"/>
        </w:r>
      </w:p>
    </w:sdtContent>
  </w:sdt>
  <w:p>
    <w:pPr>
      <w:pStyle w:val="9"/>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5MTVmOGNmMDgwNGVmZGY3ZWFkMTIyZTJmMzE5OTQifQ=="/>
  </w:docVars>
  <w:rsids>
    <w:rsidRoot w:val="00BC3243"/>
    <w:rsid w:val="00007302"/>
    <w:rsid w:val="000125E7"/>
    <w:rsid w:val="000208A3"/>
    <w:rsid w:val="00024950"/>
    <w:rsid w:val="000418DA"/>
    <w:rsid w:val="00046F81"/>
    <w:rsid w:val="0006106F"/>
    <w:rsid w:val="000849FD"/>
    <w:rsid w:val="000A233F"/>
    <w:rsid w:val="000C1125"/>
    <w:rsid w:val="000D7908"/>
    <w:rsid w:val="000E08E5"/>
    <w:rsid w:val="00116E6C"/>
    <w:rsid w:val="00117A9E"/>
    <w:rsid w:val="0013119E"/>
    <w:rsid w:val="00133A9F"/>
    <w:rsid w:val="00140E7E"/>
    <w:rsid w:val="00140EF2"/>
    <w:rsid w:val="00160FC5"/>
    <w:rsid w:val="001623A4"/>
    <w:rsid w:val="00163023"/>
    <w:rsid w:val="00163B15"/>
    <w:rsid w:val="001810CD"/>
    <w:rsid w:val="00183A34"/>
    <w:rsid w:val="00192F46"/>
    <w:rsid w:val="001B27CD"/>
    <w:rsid w:val="001C0B3D"/>
    <w:rsid w:val="001C27CA"/>
    <w:rsid w:val="001C2824"/>
    <w:rsid w:val="001D6B93"/>
    <w:rsid w:val="001E74C2"/>
    <w:rsid w:val="00205EDE"/>
    <w:rsid w:val="0022160C"/>
    <w:rsid w:val="00232DB6"/>
    <w:rsid w:val="002404DC"/>
    <w:rsid w:val="00264749"/>
    <w:rsid w:val="0026641F"/>
    <w:rsid w:val="00271DDC"/>
    <w:rsid w:val="0027207C"/>
    <w:rsid w:val="00292541"/>
    <w:rsid w:val="00292738"/>
    <w:rsid w:val="002A19E2"/>
    <w:rsid w:val="002A2974"/>
    <w:rsid w:val="002A4BE8"/>
    <w:rsid w:val="002D0F2F"/>
    <w:rsid w:val="002D2133"/>
    <w:rsid w:val="002D7E2B"/>
    <w:rsid w:val="002E2DA9"/>
    <w:rsid w:val="002E7146"/>
    <w:rsid w:val="002E725B"/>
    <w:rsid w:val="002F3B3A"/>
    <w:rsid w:val="00316E15"/>
    <w:rsid w:val="00321038"/>
    <w:rsid w:val="003234CE"/>
    <w:rsid w:val="00323B3D"/>
    <w:rsid w:val="00331B42"/>
    <w:rsid w:val="003347BA"/>
    <w:rsid w:val="00334B5A"/>
    <w:rsid w:val="00335C98"/>
    <w:rsid w:val="00336147"/>
    <w:rsid w:val="00337DFD"/>
    <w:rsid w:val="003462D0"/>
    <w:rsid w:val="00362AEA"/>
    <w:rsid w:val="00362F20"/>
    <w:rsid w:val="00371B17"/>
    <w:rsid w:val="00377BCC"/>
    <w:rsid w:val="00392D75"/>
    <w:rsid w:val="003A7627"/>
    <w:rsid w:val="003B15F9"/>
    <w:rsid w:val="003C26DA"/>
    <w:rsid w:val="003F120D"/>
    <w:rsid w:val="003F2557"/>
    <w:rsid w:val="003F6883"/>
    <w:rsid w:val="004019E2"/>
    <w:rsid w:val="00406127"/>
    <w:rsid w:val="0041234E"/>
    <w:rsid w:val="00413C95"/>
    <w:rsid w:val="00421B1E"/>
    <w:rsid w:val="004350AE"/>
    <w:rsid w:val="00464569"/>
    <w:rsid w:val="004660A6"/>
    <w:rsid w:val="00466142"/>
    <w:rsid w:val="004768AA"/>
    <w:rsid w:val="0048384D"/>
    <w:rsid w:val="004838DD"/>
    <w:rsid w:val="00484094"/>
    <w:rsid w:val="004D0674"/>
    <w:rsid w:val="004D5FB5"/>
    <w:rsid w:val="004E629F"/>
    <w:rsid w:val="004F2202"/>
    <w:rsid w:val="005274CA"/>
    <w:rsid w:val="00550969"/>
    <w:rsid w:val="005558E4"/>
    <w:rsid w:val="00563DDA"/>
    <w:rsid w:val="00565EFE"/>
    <w:rsid w:val="005704D0"/>
    <w:rsid w:val="00570F51"/>
    <w:rsid w:val="00571E10"/>
    <w:rsid w:val="00577860"/>
    <w:rsid w:val="0058110E"/>
    <w:rsid w:val="005924E6"/>
    <w:rsid w:val="005B00E7"/>
    <w:rsid w:val="005B0EA8"/>
    <w:rsid w:val="005B59B0"/>
    <w:rsid w:val="005C1841"/>
    <w:rsid w:val="005C53F7"/>
    <w:rsid w:val="005D0786"/>
    <w:rsid w:val="005E68E4"/>
    <w:rsid w:val="005F026E"/>
    <w:rsid w:val="006030DD"/>
    <w:rsid w:val="00603AAB"/>
    <w:rsid w:val="00612E92"/>
    <w:rsid w:val="00620271"/>
    <w:rsid w:val="006229E7"/>
    <w:rsid w:val="00622B03"/>
    <w:rsid w:val="006234B3"/>
    <w:rsid w:val="006430DF"/>
    <w:rsid w:val="00646C6F"/>
    <w:rsid w:val="00647FE3"/>
    <w:rsid w:val="00655DC8"/>
    <w:rsid w:val="006644D4"/>
    <w:rsid w:val="00664632"/>
    <w:rsid w:val="006663C4"/>
    <w:rsid w:val="006702D2"/>
    <w:rsid w:val="006716F5"/>
    <w:rsid w:val="00673F7E"/>
    <w:rsid w:val="006753F2"/>
    <w:rsid w:val="00681692"/>
    <w:rsid w:val="00690565"/>
    <w:rsid w:val="006B12FD"/>
    <w:rsid w:val="006B159E"/>
    <w:rsid w:val="006B231B"/>
    <w:rsid w:val="006B55AD"/>
    <w:rsid w:val="006B5855"/>
    <w:rsid w:val="006C53F2"/>
    <w:rsid w:val="006C7AA3"/>
    <w:rsid w:val="006F2617"/>
    <w:rsid w:val="00710C5D"/>
    <w:rsid w:val="0071257B"/>
    <w:rsid w:val="00715622"/>
    <w:rsid w:val="0073037B"/>
    <w:rsid w:val="0074092D"/>
    <w:rsid w:val="007458B6"/>
    <w:rsid w:val="00752572"/>
    <w:rsid w:val="00762AAE"/>
    <w:rsid w:val="0076337B"/>
    <w:rsid w:val="00765EC3"/>
    <w:rsid w:val="0076738C"/>
    <w:rsid w:val="00770589"/>
    <w:rsid w:val="00780897"/>
    <w:rsid w:val="007865A6"/>
    <w:rsid w:val="007919A1"/>
    <w:rsid w:val="00793C68"/>
    <w:rsid w:val="007A4B25"/>
    <w:rsid w:val="007B123F"/>
    <w:rsid w:val="007B37B5"/>
    <w:rsid w:val="007C1148"/>
    <w:rsid w:val="007E3AB4"/>
    <w:rsid w:val="00812D4E"/>
    <w:rsid w:val="008165DF"/>
    <w:rsid w:val="00826918"/>
    <w:rsid w:val="00827D80"/>
    <w:rsid w:val="00843DF4"/>
    <w:rsid w:val="008502ED"/>
    <w:rsid w:val="0085303A"/>
    <w:rsid w:val="00854A8E"/>
    <w:rsid w:val="00866DCA"/>
    <w:rsid w:val="008828DB"/>
    <w:rsid w:val="00887462"/>
    <w:rsid w:val="00892338"/>
    <w:rsid w:val="008A1AAF"/>
    <w:rsid w:val="008B7276"/>
    <w:rsid w:val="008C4AC1"/>
    <w:rsid w:val="008D0074"/>
    <w:rsid w:val="008D525D"/>
    <w:rsid w:val="008E3536"/>
    <w:rsid w:val="008E76CC"/>
    <w:rsid w:val="009065B2"/>
    <w:rsid w:val="0091356C"/>
    <w:rsid w:val="00915922"/>
    <w:rsid w:val="009270E6"/>
    <w:rsid w:val="009511CC"/>
    <w:rsid w:val="00957B8B"/>
    <w:rsid w:val="00963808"/>
    <w:rsid w:val="00966843"/>
    <w:rsid w:val="00977FB3"/>
    <w:rsid w:val="009A0A75"/>
    <w:rsid w:val="009A3419"/>
    <w:rsid w:val="009B342A"/>
    <w:rsid w:val="009B3CB2"/>
    <w:rsid w:val="009B44B0"/>
    <w:rsid w:val="009E035B"/>
    <w:rsid w:val="009E1CF1"/>
    <w:rsid w:val="009F37E1"/>
    <w:rsid w:val="009F7E37"/>
    <w:rsid w:val="00A0726A"/>
    <w:rsid w:val="00A22159"/>
    <w:rsid w:val="00A2579C"/>
    <w:rsid w:val="00A257DD"/>
    <w:rsid w:val="00A3100F"/>
    <w:rsid w:val="00A3310F"/>
    <w:rsid w:val="00A41E45"/>
    <w:rsid w:val="00A468A9"/>
    <w:rsid w:val="00A55468"/>
    <w:rsid w:val="00A63F9D"/>
    <w:rsid w:val="00A66E2C"/>
    <w:rsid w:val="00A76C6C"/>
    <w:rsid w:val="00A86222"/>
    <w:rsid w:val="00A91931"/>
    <w:rsid w:val="00A92FA6"/>
    <w:rsid w:val="00A9399C"/>
    <w:rsid w:val="00AA77C4"/>
    <w:rsid w:val="00AE4C5C"/>
    <w:rsid w:val="00AF1A35"/>
    <w:rsid w:val="00AF4074"/>
    <w:rsid w:val="00B04841"/>
    <w:rsid w:val="00B04E1D"/>
    <w:rsid w:val="00B165DB"/>
    <w:rsid w:val="00B26B37"/>
    <w:rsid w:val="00B34F7B"/>
    <w:rsid w:val="00B463E4"/>
    <w:rsid w:val="00B61AE1"/>
    <w:rsid w:val="00B669D7"/>
    <w:rsid w:val="00B70089"/>
    <w:rsid w:val="00B74927"/>
    <w:rsid w:val="00B81761"/>
    <w:rsid w:val="00BA7783"/>
    <w:rsid w:val="00BB56C2"/>
    <w:rsid w:val="00BB5A40"/>
    <w:rsid w:val="00BB6626"/>
    <w:rsid w:val="00BC3243"/>
    <w:rsid w:val="00BC538D"/>
    <w:rsid w:val="00BD29C6"/>
    <w:rsid w:val="00BF086F"/>
    <w:rsid w:val="00BF5594"/>
    <w:rsid w:val="00C05095"/>
    <w:rsid w:val="00C07F9D"/>
    <w:rsid w:val="00C13E50"/>
    <w:rsid w:val="00C217EC"/>
    <w:rsid w:val="00C2338F"/>
    <w:rsid w:val="00C2382D"/>
    <w:rsid w:val="00C32E22"/>
    <w:rsid w:val="00C42269"/>
    <w:rsid w:val="00C42C8D"/>
    <w:rsid w:val="00C45EFC"/>
    <w:rsid w:val="00C6077E"/>
    <w:rsid w:val="00C65F2C"/>
    <w:rsid w:val="00C73977"/>
    <w:rsid w:val="00C765FD"/>
    <w:rsid w:val="00C83EC6"/>
    <w:rsid w:val="00CA326B"/>
    <w:rsid w:val="00CA61DF"/>
    <w:rsid w:val="00CB73C9"/>
    <w:rsid w:val="00CB795C"/>
    <w:rsid w:val="00CC09EC"/>
    <w:rsid w:val="00CC426E"/>
    <w:rsid w:val="00CC4497"/>
    <w:rsid w:val="00CE3FD9"/>
    <w:rsid w:val="00CF2B10"/>
    <w:rsid w:val="00D02E27"/>
    <w:rsid w:val="00D055AB"/>
    <w:rsid w:val="00D13E90"/>
    <w:rsid w:val="00D16F48"/>
    <w:rsid w:val="00D267A2"/>
    <w:rsid w:val="00D42588"/>
    <w:rsid w:val="00D50756"/>
    <w:rsid w:val="00D56EC3"/>
    <w:rsid w:val="00D64E6E"/>
    <w:rsid w:val="00D65192"/>
    <w:rsid w:val="00D858D8"/>
    <w:rsid w:val="00D90AA5"/>
    <w:rsid w:val="00DA3AFB"/>
    <w:rsid w:val="00DB53CD"/>
    <w:rsid w:val="00DC5B35"/>
    <w:rsid w:val="00DD16F9"/>
    <w:rsid w:val="00DD1C8E"/>
    <w:rsid w:val="00DD2976"/>
    <w:rsid w:val="00DD2B7E"/>
    <w:rsid w:val="00DE4A61"/>
    <w:rsid w:val="00E0153B"/>
    <w:rsid w:val="00E07670"/>
    <w:rsid w:val="00E12FFB"/>
    <w:rsid w:val="00E30E21"/>
    <w:rsid w:val="00E352A6"/>
    <w:rsid w:val="00E35EB7"/>
    <w:rsid w:val="00E41BDC"/>
    <w:rsid w:val="00E423DB"/>
    <w:rsid w:val="00E47A87"/>
    <w:rsid w:val="00E6017F"/>
    <w:rsid w:val="00E63E61"/>
    <w:rsid w:val="00EA49C1"/>
    <w:rsid w:val="00EB1B2D"/>
    <w:rsid w:val="00EB5912"/>
    <w:rsid w:val="00EC2A27"/>
    <w:rsid w:val="00ED2155"/>
    <w:rsid w:val="00EF16DB"/>
    <w:rsid w:val="00F04F3B"/>
    <w:rsid w:val="00F07EEA"/>
    <w:rsid w:val="00F13575"/>
    <w:rsid w:val="00F20674"/>
    <w:rsid w:val="00F22F3D"/>
    <w:rsid w:val="00F24ECB"/>
    <w:rsid w:val="00F36E98"/>
    <w:rsid w:val="00F4358D"/>
    <w:rsid w:val="00F460C3"/>
    <w:rsid w:val="00F52B3F"/>
    <w:rsid w:val="00F873CD"/>
    <w:rsid w:val="00F901E9"/>
    <w:rsid w:val="00FA661E"/>
    <w:rsid w:val="00FB4725"/>
    <w:rsid w:val="00FC1B2A"/>
    <w:rsid w:val="00FC41F3"/>
    <w:rsid w:val="00FE5E7F"/>
    <w:rsid w:val="26C33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Body Text"/>
    <w:basedOn w:val="1"/>
    <w:link w:val="28"/>
    <w:semiHidden/>
    <w:unhideWhenUsed/>
    <w:qFormat/>
    <w:uiPriority w:val="99"/>
    <w:pPr>
      <w:spacing w:after="120"/>
    </w:pPr>
  </w:style>
  <w:style w:type="paragraph" w:styleId="6">
    <w:name w:val="Body Text Indent"/>
    <w:basedOn w:val="1"/>
    <w:link w:val="23"/>
    <w:uiPriority w:val="0"/>
    <w:pPr>
      <w:ind w:firstLine="560" w:firstLineChars="200"/>
      <w:jc w:val="left"/>
    </w:pPr>
    <w:rPr>
      <w:sz w:val="28"/>
    </w:rPr>
  </w:style>
  <w:style w:type="paragraph" w:styleId="7">
    <w:name w:val="Date"/>
    <w:basedOn w:val="1"/>
    <w:next w:val="1"/>
    <w:link w:val="19"/>
    <w:semiHidden/>
    <w:unhideWhenUsed/>
    <w:uiPriority w:val="99"/>
    <w:pPr>
      <w:ind w:left="100" w:leftChars="2500"/>
    </w:pPr>
  </w:style>
  <w:style w:type="paragraph" w:styleId="8">
    <w:name w:val="Balloon Text"/>
    <w:basedOn w:val="1"/>
    <w:link w:val="20"/>
    <w:semiHidden/>
    <w:unhideWhenUsed/>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jc w:val="left"/>
    </w:pPr>
    <w:rPr>
      <w:rFonts w:ascii="宋体" w:hAnsi="宋体" w:cs="宋体"/>
      <w:kern w:val="0"/>
      <w:sz w:val="24"/>
    </w:rPr>
  </w:style>
  <w:style w:type="table" w:styleId="13">
    <w:name w:val="Table Grid"/>
    <w:basedOn w:val="12"/>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unhideWhenUsed/>
    <w:qFormat/>
    <w:uiPriority w:val="99"/>
    <w:rPr>
      <w:color w:val="0000FF"/>
      <w:u w:val="single"/>
    </w:rPr>
  </w:style>
  <w:style w:type="character" w:customStyle="1" w:styleId="17">
    <w:name w:val="页眉 Char"/>
    <w:basedOn w:val="14"/>
    <w:link w:val="10"/>
    <w:uiPriority w:val="99"/>
    <w:rPr>
      <w:rFonts w:ascii="Times New Roman" w:hAnsi="Times New Roman" w:eastAsia="宋体" w:cs="Times New Roman"/>
      <w:sz w:val="18"/>
      <w:szCs w:val="18"/>
    </w:rPr>
  </w:style>
  <w:style w:type="character" w:customStyle="1" w:styleId="18">
    <w:name w:val="页脚 Char"/>
    <w:basedOn w:val="14"/>
    <w:link w:val="9"/>
    <w:qFormat/>
    <w:uiPriority w:val="99"/>
    <w:rPr>
      <w:rFonts w:ascii="Times New Roman" w:hAnsi="Times New Roman" w:eastAsia="宋体" w:cs="Times New Roman"/>
      <w:sz w:val="18"/>
      <w:szCs w:val="18"/>
    </w:rPr>
  </w:style>
  <w:style w:type="character" w:customStyle="1" w:styleId="19">
    <w:name w:val="日期 Char"/>
    <w:basedOn w:val="14"/>
    <w:link w:val="7"/>
    <w:semiHidden/>
    <w:uiPriority w:val="99"/>
    <w:rPr>
      <w:rFonts w:ascii="Times New Roman" w:hAnsi="Times New Roman" w:eastAsia="宋体" w:cs="Times New Roman"/>
      <w:szCs w:val="24"/>
    </w:rPr>
  </w:style>
  <w:style w:type="character" w:customStyle="1" w:styleId="20">
    <w:name w:val="批注框文本 Char"/>
    <w:basedOn w:val="14"/>
    <w:link w:val="8"/>
    <w:semiHidden/>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标题 2 Char"/>
    <w:basedOn w:val="14"/>
    <w:link w:val="3"/>
    <w:qFormat/>
    <w:uiPriority w:val="9"/>
    <w:rPr>
      <w:rFonts w:ascii="Arial" w:hAnsi="Arial" w:eastAsia="黑体" w:cs="Times New Roman"/>
      <w:b/>
      <w:bCs/>
      <w:sz w:val="32"/>
      <w:szCs w:val="32"/>
    </w:rPr>
  </w:style>
  <w:style w:type="character" w:customStyle="1" w:styleId="23">
    <w:name w:val="正文文本缩进 Char"/>
    <w:basedOn w:val="14"/>
    <w:link w:val="6"/>
    <w:qFormat/>
    <w:uiPriority w:val="0"/>
    <w:rPr>
      <w:rFonts w:ascii="Times New Roman" w:hAnsi="Times New Roman" w:eastAsia="宋体" w:cs="Times New Roman"/>
      <w:sz w:val="28"/>
      <w:szCs w:val="24"/>
    </w:rPr>
  </w:style>
  <w:style w:type="paragraph" w:customStyle="1" w:styleId="24">
    <w:name w:val="p0"/>
    <w:basedOn w:val="1"/>
    <w:qFormat/>
    <w:uiPriority w:val="0"/>
    <w:pPr>
      <w:widowControl/>
    </w:pPr>
    <w:rPr>
      <w:kern w:val="0"/>
      <w:szCs w:val="21"/>
    </w:rPr>
  </w:style>
  <w:style w:type="paragraph" w:customStyle="1" w:styleId="25">
    <w:name w:val="HTML Bottom of Form"/>
    <w:basedOn w:val="1"/>
    <w:next w:val="1"/>
    <w:link w:val="26"/>
    <w:qFormat/>
    <w:uiPriority w:val="0"/>
    <w:pPr>
      <w:pBdr>
        <w:top w:val="single" w:color="auto" w:sz="6" w:space="1"/>
      </w:pBdr>
      <w:jc w:val="center"/>
    </w:pPr>
    <w:rPr>
      <w:rFonts w:ascii="Arial" w:hAnsi="Calibri"/>
      <w:vanish/>
      <w:sz w:val="16"/>
    </w:rPr>
  </w:style>
  <w:style w:type="character" w:customStyle="1" w:styleId="26">
    <w:name w:val="z-窗体底端 Char"/>
    <w:basedOn w:val="14"/>
    <w:link w:val="25"/>
    <w:qFormat/>
    <w:uiPriority w:val="0"/>
    <w:rPr>
      <w:rFonts w:ascii="Arial" w:hAnsi="Calibri" w:eastAsia="宋体" w:cs="Times New Roman"/>
      <w:vanish/>
      <w:sz w:val="16"/>
      <w:szCs w:val="24"/>
    </w:rPr>
  </w:style>
  <w:style w:type="character" w:customStyle="1" w:styleId="27">
    <w:name w:val="标题 1 Char"/>
    <w:basedOn w:val="14"/>
    <w:link w:val="2"/>
    <w:qFormat/>
    <w:uiPriority w:val="9"/>
    <w:rPr>
      <w:rFonts w:ascii="Times New Roman" w:hAnsi="Times New Roman" w:eastAsia="宋体" w:cs="Times New Roman"/>
      <w:b/>
      <w:bCs/>
      <w:kern w:val="44"/>
      <w:sz w:val="44"/>
      <w:szCs w:val="44"/>
    </w:rPr>
  </w:style>
  <w:style w:type="character" w:customStyle="1" w:styleId="28">
    <w:name w:val="正文文本 Char"/>
    <w:basedOn w:val="14"/>
    <w:link w:val="5"/>
    <w:qFormat/>
    <w:uiPriority w:val="1"/>
    <w:rPr>
      <w:rFonts w:ascii="Times New Roman" w:hAnsi="Times New Roman" w:eastAsia="宋体" w:cs="Times New Roman"/>
      <w:szCs w:val="24"/>
    </w:rPr>
  </w:style>
  <w:style w:type="character" w:customStyle="1" w:styleId="29">
    <w:name w:val="标题 3 Char"/>
    <w:basedOn w:val="14"/>
    <w:link w:val="4"/>
    <w:qFormat/>
    <w:uiPriority w:val="9"/>
    <w:rPr>
      <w:b/>
      <w:bCs/>
      <w:sz w:val="32"/>
      <w:szCs w:val="32"/>
    </w:rPr>
  </w:style>
  <w:style w:type="paragraph" w:customStyle="1" w:styleId="30">
    <w:name w:val="Char"/>
    <w:basedOn w:val="1"/>
    <w:semiHidden/>
    <w:qFormat/>
    <w:uiPriority w:val="0"/>
    <w:rPr>
      <w:rFonts w:ascii="Tahoma" w:hAnsi="Tahoma" w:cs="仿宋_GB2312"/>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348122-8FC7-43DF-A84D-52CFACEC2E1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329</Words>
  <Characters>1877</Characters>
  <Lines>15</Lines>
  <Paragraphs>4</Paragraphs>
  <TotalTime>36</TotalTime>
  <ScaleCrop>false</ScaleCrop>
  <LinksUpToDate>false</LinksUpToDate>
  <CharactersWithSpaces>2202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2021-06-15T06:36:00Z</dcterms:created>
  <dc:creator>Administrator</dc:creator>
  <cp:lastModifiedBy>Administrator</cp:lastModifiedBy>
  <cp:lastPrinted>2021-06-15T07:03:00Z</cp:lastPrinted>
  <dcterms:modified xsi:type="dcterms:W3CDTF">2023-09-14T03:37:36Z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9D79AF39F9EE403E9A6FD7A941AC27D7_12</vt:lpwstr>
  </property>
</Properties>
</file>